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01B" w:rsidRDefault="00CD701B" w:rsidP="00CD701B">
      <w:pPr>
        <w:rPr>
          <w:rStyle w:val="descriptionrss"/>
        </w:rPr>
      </w:pPr>
      <w:bookmarkStart w:id="0" w:name="_GoBack"/>
      <w:bookmarkEnd w:id="0"/>
      <w:r>
        <w:rPr>
          <w:rStyle w:val="descriptionrss"/>
        </w:rPr>
        <w:t xml:space="preserve">Sophie </w:t>
      </w:r>
      <w:proofErr w:type="spellStart"/>
      <w:r>
        <w:rPr>
          <w:rStyle w:val="descriptionrss"/>
        </w:rPr>
        <w:t>Sabathier</w:t>
      </w:r>
      <w:proofErr w:type="spellEnd"/>
    </w:p>
    <w:p w:rsidR="00CD701B" w:rsidRDefault="00CD701B" w:rsidP="00CD701B">
      <w:pPr>
        <w:pStyle w:val="Paragraphedeliste"/>
        <w:numPr>
          <w:ilvl w:val="0"/>
          <w:numId w:val="1"/>
        </w:numPr>
        <w:spacing w:after="200"/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hAnsi="Century Gothic"/>
          <w:sz w:val="18"/>
          <w:szCs w:val="18"/>
        </w:rPr>
        <w:t xml:space="preserve"> La cession de l’entreprise dans les différentes procédures : </w:t>
      </w:r>
      <w:proofErr w:type="spellStart"/>
      <w:r w:rsidRPr="00A72B29">
        <w:rPr>
          <w:rFonts w:ascii="Century Gothic" w:hAnsi="Century Gothic"/>
          <w:sz w:val="18"/>
          <w:szCs w:val="18"/>
        </w:rPr>
        <w:t>prepack</w:t>
      </w:r>
      <w:proofErr w:type="spellEnd"/>
      <w:r w:rsidRPr="00A72B29">
        <w:rPr>
          <w:rFonts w:ascii="Century Gothic" w:hAnsi="Century Gothic"/>
          <w:sz w:val="18"/>
          <w:szCs w:val="18"/>
        </w:rPr>
        <w:t xml:space="preserve">, redressement et liquidation judiciaires, Revue des procédures collectives 2015, n°6 p. 62, en collaboration avec Me </w:t>
      </w:r>
      <w:proofErr w:type="spellStart"/>
      <w:r w:rsidRPr="00A72B29">
        <w:rPr>
          <w:rFonts w:ascii="Century Gothic" w:hAnsi="Century Gothic"/>
          <w:sz w:val="18"/>
          <w:szCs w:val="18"/>
        </w:rPr>
        <w:t>Caviglioli</w:t>
      </w:r>
      <w:proofErr w:type="spellEnd"/>
      <w:r w:rsidRPr="00A72B29">
        <w:rPr>
          <w:rFonts w:ascii="Century Gothic" w:hAnsi="Century Gothic"/>
          <w:sz w:val="18"/>
          <w:szCs w:val="18"/>
        </w:rPr>
        <w:t>, administrateur judiciaire.</w:t>
      </w:r>
    </w:p>
    <w:p w:rsidR="007761D5" w:rsidRPr="00EB4F35" w:rsidRDefault="00CD701B" w:rsidP="00CD701B">
      <w:pPr>
        <w:pStyle w:val="Paragraphedeliste"/>
        <w:numPr>
          <w:ilvl w:val="0"/>
          <w:numId w:val="1"/>
        </w:numPr>
        <w:spacing w:after="200"/>
        <w:jc w:val="both"/>
      </w:pPr>
      <w:r w:rsidRPr="00CD701B">
        <w:rPr>
          <w:rFonts w:ascii="Century Gothic" w:hAnsi="Century Gothic"/>
          <w:sz w:val="18"/>
          <w:szCs w:val="18"/>
        </w:rPr>
        <w:t xml:space="preserve"> Gestion des passifs environnementaux de sites pollués : état des lieux des responsabilités liées à la cessation d’activité. Bulletin du droit de l'environnement industriel </w:t>
      </w:r>
      <w:r w:rsidR="00EB4F35">
        <w:rPr>
          <w:rFonts w:ascii="Century Gothic" w:hAnsi="Century Gothic"/>
          <w:sz w:val="18"/>
          <w:szCs w:val="18"/>
        </w:rPr>
        <w:t>–</w:t>
      </w:r>
      <w:r w:rsidRPr="00CD701B">
        <w:rPr>
          <w:rFonts w:ascii="Century Gothic" w:hAnsi="Century Gothic"/>
          <w:sz w:val="18"/>
          <w:szCs w:val="18"/>
        </w:rPr>
        <w:t xml:space="preserve"> </w:t>
      </w:r>
      <w:proofErr w:type="gramStart"/>
      <w:r w:rsidR="00C52627">
        <w:rPr>
          <w:rFonts w:ascii="Century Gothic" w:hAnsi="Century Gothic"/>
          <w:sz w:val="18"/>
          <w:szCs w:val="18"/>
        </w:rPr>
        <w:t xml:space="preserve">201, </w:t>
      </w:r>
      <w:r w:rsidR="00EB4F35">
        <w:rPr>
          <w:rFonts w:ascii="Century Gothic" w:hAnsi="Century Gothic"/>
          <w:sz w:val="18"/>
          <w:szCs w:val="18"/>
        </w:rPr>
        <w:t xml:space="preserve"> </w:t>
      </w:r>
      <w:r w:rsidR="00C52627">
        <w:rPr>
          <w:rFonts w:ascii="Century Gothic" w:hAnsi="Century Gothic"/>
          <w:sz w:val="18"/>
          <w:szCs w:val="18"/>
        </w:rPr>
        <w:t>70</w:t>
      </w:r>
      <w:proofErr w:type="gramEnd"/>
      <w:r w:rsidRPr="00CD701B">
        <w:rPr>
          <w:rFonts w:ascii="Century Gothic" w:hAnsi="Century Gothic"/>
          <w:sz w:val="18"/>
          <w:szCs w:val="18"/>
        </w:rPr>
        <w:t>.</w:t>
      </w:r>
    </w:p>
    <w:p w:rsidR="00EB4F35" w:rsidRPr="00EB4F35" w:rsidRDefault="00EB4F35" w:rsidP="00C52627">
      <w:pPr>
        <w:pStyle w:val="Paragraphedeliste"/>
        <w:numPr>
          <w:ilvl w:val="0"/>
          <w:numId w:val="1"/>
        </w:numPr>
        <w:spacing w:after="200"/>
        <w:jc w:val="both"/>
      </w:pPr>
      <w:r>
        <w:rPr>
          <w:rFonts w:ascii="Century Gothic" w:hAnsi="Century Gothic"/>
          <w:sz w:val="18"/>
          <w:szCs w:val="18"/>
        </w:rPr>
        <w:t xml:space="preserve">Créances environnementales et droit des entreprises en difficulté, </w:t>
      </w:r>
      <w:proofErr w:type="spellStart"/>
      <w:r>
        <w:rPr>
          <w:rFonts w:ascii="Century Gothic" w:hAnsi="Century Gothic"/>
          <w:sz w:val="18"/>
          <w:szCs w:val="18"/>
        </w:rPr>
        <w:t>Lexisnexis</w:t>
      </w:r>
      <w:proofErr w:type="spellEnd"/>
      <w:r>
        <w:rPr>
          <w:rFonts w:ascii="Century Gothic" w:hAnsi="Century Gothic"/>
          <w:sz w:val="18"/>
          <w:szCs w:val="18"/>
        </w:rPr>
        <w:t xml:space="preserve">, </w:t>
      </w:r>
      <w:proofErr w:type="spellStart"/>
      <w:r>
        <w:rPr>
          <w:rFonts w:ascii="Century Gothic" w:hAnsi="Century Gothic"/>
          <w:sz w:val="18"/>
          <w:szCs w:val="18"/>
        </w:rPr>
        <w:t>Jurisclasseur</w:t>
      </w:r>
      <w:proofErr w:type="spellEnd"/>
      <w:r>
        <w:rPr>
          <w:rFonts w:ascii="Century Gothic" w:hAnsi="Century Gothic"/>
          <w:sz w:val="18"/>
          <w:szCs w:val="18"/>
        </w:rPr>
        <w:t>,</w:t>
      </w:r>
      <w:r w:rsidR="00C52627">
        <w:rPr>
          <w:rFonts w:ascii="Century Gothic" w:hAnsi="Century Gothic"/>
          <w:sz w:val="18"/>
          <w:szCs w:val="18"/>
        </w:rPr>
        <w:t xml:space="preserve"> ,</w:t>
      </w:r>
      <w:r w:rsidRPr="00C52627">
        <w:rPr>
          <w:rFonts w:ascii="Century Gothic" w:hAnsi="Century Gothic"/>
          <w:sz w:val="18"/>
          <w:szCs w:val="18"/>
        </w:rPr>
        <w:t xml:space="preserve"> </w:t>
      </w:r>
      <w:r w:rsidR="00C52627">
        <w:rPr>
          <w:rFonts w:ascii="Century Gothic" w:hAnsi="Century Gothic"/>
          <w:sz w:val="18"/>
          <w:szCs w:val="18"/>
        </w:rPr>
        <w:t>Fiche pratique conseil, n°3559 ; 6 p. ;  (documentation professionnelle).</w:t>
      </w:r>
    </w:p>
    <w:p w:rsidR="00C52627" w:rsidRDefault="00EB4F35" w:rsidP="00C52627">
      <w:pPr>
        <w:pStyle w:val="Paragraphedeliste"/>
        <w:numPr>
          <w:ilvl w:val="0"/>
          <w:numId w:val="1"/>
        </w:numPr>
        <w:spacing w:after="200"/>
        <w:jc w:val="both"/>
      </w:pPr>
      <w:r w:rsidRPr="00C52627">
        <w:rPr>
          <w:rFonts w:ascii="Century Gothic" w:hAnsi="Century Gothic"/>
          <w:sz w:val="18"/>
          <w:szCs w:val="18"/>
        </w:rPr>
        <w:t>Entreprises en difficulté : cessation d'activité et protection de l'environnement</w:t>
      </w:r>
      <w:r w:rsidR="00C52627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="00C52627">
        <w:rPr>
          <w:rFonts w:ascii="Century Gothic" w:hAnsi="Century Gothic"/>
          <w:sz w:val="18"/>
          <w:szCs w:val="18"/>
        </w:rPr>
        <w:t>Lexisnexis</w:t>
      </w:r>
      <w:proofErr w:type="spellEnd"/>
      <w:r w:rsidR="00C52627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="00C52627">
        <w:rPr>
          <w:rFonts w:ascii="Century Gothic" w:hAnsi="Century Gothic"/>
          <w:sz w:val="18"/>
          <w:szCs w:val="18"/>
        </w:rPr>
        <w:t>Jurisclasseur</w:t>
      </w:r>
      <w:proofErr w:type="spellEnd"/>
      <w:r w:rsidR="00C52627">
        <w:rPr>
          <w:rFonts w:ascii="Century Gothic" w:hAnsi="Century Gothic"/>
          <w:sz w:val="18"/>
          <w:szCs w:val="18"/>
        </w:rPr>
        <w:t xml:space="preserve"> Environnement et développement durable, </w:t>
      </w:r>
      <w:r w:rsidR="00C52627" w:rsidRPr="00C52627">
        <w:rPr>
          <w:rFonts w:ascii="Century Gothic" w:hAnsi="Century Gothic"/>
          <w:sz w:val="18"/>
          <w:szCs w:val="18"/>
        </w:rPr>
        <w:t xml:space="preserve">Fiche pratique </w:t>
      </w:r>
      <w:r w:rsidR="00C52627">
        <w:rPr>
          <w:rFonts w:ascii="Century Gothic" w:hAnsi="Century Gothic"/>
          <w:sz w:val="18"/>
          <w:szCs w:val="18"/>
        </w:rPr>
        <w:t xml:space="preserve">conseil </w:t>
      </w:r>
      <w:r w:rsidR="00C52627" w:rsidRPr="00C52627">
        <w:rPr>
          <w:rFonts w:ascii="Century Gothic" w:hAnsi="Century Gothic"/>
          <w:sz w:val="18"/>
          <w:szCs w:val="18"/>
        </w:rPr>
        <w:t>n° 2933</w:t>
      </w:r>
      <w:r w:rsidR="00C52627">
        <w:rPr>
          <w:rFonts w:ascii="Century Gothic" w:hAnsi="Century Gothic"/>
          <w:sz w:val="18"/>
          <w:szCs w:val="18"/>
        </w:rPr>
        <w:t> ; 15 p. ; (documentation professionnelle)</w:t>
      </w:r>
    </w:p>
    <w:p w:rsidR="00CD701B" w:rsidRPr="00CD701B" w:rsidRDefault="00CD701B" w:rsidP="00CD701B">
      <w:pPr>
        <w:rPr>
          <w:rFonts w:ascii="Century Gothic" w:eastAsia="Times New Roman" w:hAnsi="Century Gothic"/>
          <w:sz w:val="18"/>
          <w:szCs w:val="18"/>
          <w:lang w:eastAsia="fr-FR"/>
        </w:rPr>
      </w:pPr>
    </w:p>
    <w:sectPr w:rsidR="00CD701B" w:rsidRPr="00CD7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C1A8A"/>
    <w:multiLevelType w:val="hybridMultilevel"/>
    <w:tmpl w:val="870A14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01B"/>
    <w:rsid w:val="003D6889"/>
    <w:rsid w:val="007761D5"/>
    <w:rsid w:val="007A24F8"/>
    <w:rsid w:val="00AC40EB"/>
    <w:rsid w:val="00C52627"/>
    <w:rsid w:val="00CD701B"/>
    <w:rsid w:val="00EB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3FFE2-297D-4C26-86D4-D7114164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descriptionrss">
    <w:name w:val="descriptionrss"/>
    <w:basedOn w:val="Policepardfaut"/>
    <w:rsid w:val="00CD701B"/>
  </w:style>
  <w:style w:type="paragraph" w:styleId="Paragraphedeliste">
    <w:name w:val="List Paragraph"/>
    <w:basedOn w:val="Normal"/>
    <w:uiPriority w:val="34"/>
    <w:qFormat/>
    <w:rsid w:val="00CD701B"/>
    <w:pPr>
      <w:ind w:left="720"/>
      <w:contextualSpacing/>
    </w:pPr>
    <w:rPr>
      <w:rFonts w:eastAsia="Times New Roman"/>
      <w:lang w:eastAsia="fr-FR"/>
    </w:rPr>
  </w:style>
  <w:style w:type="paragraph" w:customStyle="1" w:styleId="mtadonnes">
    <w:name w:val="métadonnées"/>
    <w:basedOn w:val="Normal"/>
    <w:uiPriority w:val="18"/>
    <w:rsid w:val="00EB4F3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120" w:after="120"/>
    </w:pPr>
    <w:rPr>
      <w:rFonts w:ascii="Times New Roman" w:hAnsi="Times New Roman" w:cstheme="minorBidi"/>
      <w:color w:val="404040" w:themeColor="text1" w:themeTint="BF"/>
      <w:sz w:val="24"/>
    </w:rPr>
  </w:style>
  <w:style w:type="table" w:customStyle="1" w:styleId="Tableaudetitre">
    <w:name w:val="Tableau de titre"/>
    <w:basedOn w:val="TableauNormal"/>
    <w:uiPriority w:val="99"/>
    <w:rsid w:val="00EB4F35"/>
    <w:rPr>
      <w:rFonts w:ascii="Times New Roman" w:eastAsiaTheme="minorEastAsia" w:hAnsi="Times New Roman" w:cs="Times New Roman"/>
      <w:sz w:val="24"/>
      <w:szCs w:val="24"/>
    </w:rPr>
    <w:tblPr>
      <w:tblStyleRowBandSize w:val="2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rFonts w:ascii="Times New Roman" w:hAnsi="Times New Roman" w:cs="Times New Roman"/>
        <w:b w:val="0"/>
        <w:color w:val="auto"/>
        <w:sz w:val="32"/>
      </w:rPr>
    </w:tblStylePr>
    <w:tblStylePr w:type="firstCol">
      <w:rPr>
        <w:rFonts w:ascii="Times New Roman" w:hAnsi="Times New Roman" w:cs="Times New Roman"/>
        <w:b w:val="0"/>
        <w:color w:val="000000" w:themeColor="text1"/>
        <w:sz w:val="22"/>
      </w:rPr>
      <w:tblPr/>
      <w:tcPr>
        <w:shd w:val="clear" w:color="auto" w:fill="D5DCE4" w:themeFill="text2" w:themeFillTint="33"/>
      </w:tcPr>
    </w:tblStylePr>
    <w:tblStylePr w:type="band1Vert">
      <w:rPr>
        <w:rFonts w:cs="Times New Roman"/>
        <w:color w:val="000000" w:themeColor="text1"/>
      </w:rPr>
    </w:tblStylePr>
    <w:tblStylePr w:type="band1Horz">
      <w:rPr>
        <w:rFonts w:cs="Times New Roman"/>
        <w:sz w:val="28"/>
      </w:rPr>
    </w:tblStylePr>
    <w:tblStylePr w:type="band2Horz">
      <w:rPr>
        <w:rFonts w:cs="Times New Roman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SABATHIER</dc:creator>
  <cp:keywords/>
  <dc:description/>
  <cp:lastModifiedBy>SOPHIE SABATHIER</cp:lastModifiedBy>
  <cp:revision>2</cp:revision>
  <dcterms:created xsi:type="dcterms:W3CDTF">2019-08-25T10:34:00Z</dcterms:created>
  <dcterms:modified xsi:type="dcterms:W3CDTF">2019-08-25T10:34:00Z</dcterms:modified>
</cp:coreProperties>
</file>