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B7B" w:rsidRPr="00586C98" w:rsidRDefault="00731B7B" w:rsidP="00731B7B">
      <w:pPr>
        <w:spacing w:before="120"/>
        <w:jc w:val="both"/>
        <w:rPr>
          <w:rFonts w:ascii="Century Gothic" w:hAnsi="Century Gothic"/>
          <w:b/>
          <w:bCs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>Julien THERON</w:t>
      </w:r>
    </w:p>
    <w:p w:rsidR="00731B7B" w:rsidRPr="00A72B29" w:rsidRDefault="00731B7B" w:rsidP="00731B7B">
      <w:pPr>
        <w:spacing w:before="120"/>
        <w:ind w:left="720"/>
        <w:jc w:val="both"/>
        <w:rPr>
          <w:rFonts w:ascii="Century Gothic" w:hAnsi="Century Gothic"/>
          <w:sz w:val="18"/>
          <w:szCs w:val="18"/>
        </w:rPr>
      </w:pPr>
    </w:p>
    <w:p w:rsidR="00731B7B" w:rsidRPr="00A72B29" w:rsidRDefault="00731B7B" w:rsidP="00731B7B">
      <w:pPr>
        <w:pStyle w:val="Paragraphedeliste"/>
        <w:numPr>
          <w:ilvl w:val="0"/>
          <w:numId w:val="1"/>
        </w:numPr>
        <w:spacing w:after="200"/>
        <w:jc w:val="both"/>
        <w:rPr>
          <w:rFonts w:ascii="Century Gothic" w:hAnsi="Century Gothic"/>
          <w:sz w:val="18"/>
          <w:szCs w:val="18"/>
        </w:rPr>
      </w:pPr>
      <w:r w:rsidRPr="00A72B29">
        <w:rPr>
          <w:rFonts w:ascii="Century Gothic" w:hAnsi="Century Gothic"/>
          <w:sz w:val="18"/>
          <w:szCs w:val="18"/>
        </w:rPr>
        <w:t>THERON (Julien) « La procédure de sauvegarde accélérée », Droit et Patrimoine 2014, 1</w:t>
      </w:r>
      <w:r w:rsidRPr="00A72B29">
        <w:rPr>
          <w:rFonts w:ascii="Century Gothic" w:hAnsi="Century Gothic"/>
          <w:sz w:val="18"/>
          <w:szCs w:val="18"/>
          <w:vertAlign w:val="superscript"/>
        </w:rPr>
        <w:t>er</w:t>
      </w:r>
      <w:r w:rsidRPr="00A72B29">
        <w:rPr>
          <w:rFonts w:ascii="Century Gothic" w:hAnsi="Century Gothic"/>
          <w:sz w:val="18"/>
          <w:szCs w:val="18"/>
        </w:rPr>
        <w:t xml:space="preserve"> juillet 2014, pp. 46-51</w:t>
      </w:r>
    </w:p>
    <w:p w:rsidR="00731B7B" w:rsidRPr="00A72B29" w:rsidRDefault="00731B7B" w:rsidP="00731B7B">
      <w:pPr>
        <w:pStyle w:val="Paragraphedeliste"/>
        <w:jc w:val="both"/>
        <w:rPr>
          <w:rFonts w:ascii="Century Gothic" w:hAnsi="Century Gothic"/>
          <w:sz w:val="18"/>
          <w:szCs w:val="18"/>
        </w:rPr>
      </w:pPr>
    </w:p>
    <w:p w:rsidR="00731B7B" w:rsidRPr="00A72B29" w:rsidRDefault="00731B7B" w:rsidP="00731B7B">
      <w:pPr>
        <w:pStyle w:val="Paragraphedeliste"/>
        <w:numPr>
          <w:ilvl w:val="0"/>
          <w:numId w:val="1"/>
        </w:numPr>
        <w:spacing w:after="200"/>
        <w:jc w:val="both"/>
        <w:rPr>
          <w:rFonts w:ascii="Century Gothic" w:hAnsi="Century Gothic"/>
          <w:sz w:val="18"/>
          <w:szCs w:val="18"/>
        </w:rPr>
      </w:pPr>
      <w:r w:rsidRPr="00A72B29">
        <w:rPr>
          <w:rFonts w:ascii="Century Gothic" w:hAnsi="Century Gothic"/>
          <w:sz w:val="18"/>
          <w:szCs w:val="18"/>
        </w:rPr>
        <w:t>THERON (Julien) « Aspects procéduraux de l’ordonnance du 12 mars 2014 portant réforme de la prévention des difficultés des entreprises et des procédures collectives », Gazette du Palais, 27 mai 2014 n° 147, pp. 4-6</w:t>
      </w:r>
    </w:p>
    <w:p w:rsidR="00731B7B" w:rsidRPr="00A72B29" w:rsidRDefault="00731B7B" w:rsidP="00731B7B">
      <w:pPr>
        <w:pStyle w:val="Paragraphedeliste"/>
        <w:jc w:val="both"/>
        <w:rPr>
          <w:rFonts w:ascii="Century Gothic" w:hAnsi="Century Gothic"/>
          <w:sz w:val="18"/>
          <w:szCs w:val="18"/>
        </w:rPr>
      </w:pPr>
    </w:p>
    <w:p w:rsidR="00731B7B" w:rsidRPr="00A72B29" w:rsidRDefault="00731B7B" w:rsidP="00731B7B">
      <w:pPr>
        <w:pStyle w:val="Paragraphedeliste"/>
        <w:numPr>
          <w:ilvl w:val="0"/>
          <w:numId w:val="1"/>
        </w:numPr>
        <w:spacing w:after="200"/>
        <w:jc w:val="both"/>
        <w:rPr>
          <w:rFonts w:ascii="Century Gothic" w:hAnsi="Century Gothic"/>
          <w:sz w:val="18"/>
          <w:szCs w:val="18"/>
        </w:rPr>
      </w:pPr>
      <w:r w:rsidRPr="00A72B29">
        <w:rPr>
          <w:rFonts w:ascii="Century Gothic" w:hAnsi="Century Gothic"/>
          <w:sz w:val="18"/>
          <w:szCs w:val="18"/>
        </w:rPr>
        <w:t>THERON (Julien) « Ordre et désordre dans la notion de partie », Revue Trimestrielle de Droit Civil 2014 n°2, pp. 231-252.</w:t>
      </w:r>
    </w:p>
    <w:p w:rsidR="00731B7B" w:rsidRPr="00A72B29" w:rsidRDefault="00731B7B" w:rsidP="00731B7B">
      <w:pPr>
        <w:pStyle w:val="Paragraphedeliste"/>
        <w:rPr>
          <w:rFonts w:ascii="Century Gothic" w:hAnsi="Century Gothic"/>
          <w:sz w:val="18"/>
          <w:szCs w:val="18"/>
        </w:rPr>
      </w:pPr>
    </w:p>
    <w:p w:rsidR="00731B7B" w:rsidRPr="00A72B29" w:rsidRDefault="00731B7B" w:rsidP="00731B7B">
      <w:pPr>
        <w:pStyle w:val="Paragraphedeliste"/>
        <w:numPr>
          <w:ilvl w:val="0"/>
          <w:numId w:val="1"/>
        </w:numPr>
        <w:spacing w:after="200"/>
        <w:jc w:val="both"/>
        <w:rPr>
          <w:rFonts w:ascii="Century Gothic" w:hAnsi="Century Gothic"/>
          <w:sz w:val="18"/>
          <w:szCs w:val="18"/>
        </w:rPr>
      </w:pPr>
      <w:r w:rsidRPr="00A72B29">
        <w:rPr>
          <w:rFonts w:ascii="Century Gothic" w:hAnsi="Century Gothic"/>
          <w:sz w:val="18"/>
          <w:szCs w:val="18"/>
        </w:rPr>
        <w:t>THERON (Julien) « Les actes de cession et difficultés d’exécution, analyse juridique » (dans les plans de cession), Revue des procédures collectives, 2015, n°6, p. 80-83</w:t>
      </w:r>
    </w:p>
    <w:p w:rsidR="00731B7B" w:rsidRPr="00A72B29" w:rsidRDefault="00731B7B" w:rsidP="00731B7B">
      <w:pPr>
        <w:pStyle w:val="Paragraphedeliste"/>
        <w:rPr>
          <w:rFonts w:ascii="Century Gothic" w:hAnsi="Century Gothic"/>
          <w:sz w:val="18"/>
          <w:szCs w:val="18"/>
        </w:rPr>
      </w:pPr>
    </w:p>
    <w:p w:rsidR="00731B7B" w:rsidRDefault="00731B7B" w:rsidP="00731B7B">
      <w:pPr>
        <w:pStyle w:val="Paragraphedeliste"/>
        <w:numPr>
          <w:ilvl w:val="0"/>
          <w:numId w:val="1"/>
        </w:numPr>
        <w:spacing w:after="200"/>
        <w:jc w:val="both"/>
        <w:rPr>
          <w:rFonts w:ascii="Century Gothic" w:hAnsi="Century Gothic"/>
          <w:sz w:val="18"/>
          <w:szCs w:val="18"/>
        </w:rPr>
      </w:pPr>
      <w:r w:rsidRPr="00A72B29">
        <w:rPr>
          <w:rFonts w:ascii="Century Gothic" w:hAnsi="Century Gothic"/>
          <w:sz w:val="18"/>
          <w:szCs w:val="18"/>
        </w:rPr>
        <w:t>THERON (Julien) « Le rôle du liquidateur judiciaire dans les cessions isolées », Revue des procédures collectives 2015, n°2, p. 35-37.</w:t>
      </w:r>
    </w:p>
    <w:p w:rsidR="00731B7B" w:rsidRPr="00586C98" w:rsidRDefault="00731B7B" w:rsidP="00731B7B">
      <w:pPr>
        <w:pStyle w:val="Paragraphedeliste"/>
        <w:rPr>
          <w:rFonts w:ascii="Century Gothic" w:hAnsi="Century Gothic"/>
          <w:sz w:val="18"/>
          <w:szCs w:val="18"/>
        </w:rPr>
      </w:pPr>
    </w:p>
    <w:p w:rsidR="00731B7B" w:rsidRPr="00586C98" w:rsidRDefault="00731B7B" w:rsidP="00731B7B">
      <w:pPr>
        <w:spacing w:after="200"/>
        <w:jc w:val="both"/>
        <w:rPr>
          <w:rFonts w:ascii="Century Gothic" w:hAnsi="Century Gothic"/>
          <w:sz w:val="18"/>
          <w:szCs w:val="18"/>
        </w:rPr>
      </w:pPr>
    </w:p>
    <w:p w:rsidR="00731B7B" w:rsidRPr="00A72B29" w:rsidRDefault="00731B7B" w:rsidP="00731B7B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noProof/>
          <w:sz w:val="18"/>
          <w:szCs w:val="18"/>
        </w:rPr>
      </w:pPr>
      <w:r w:rsidRPr="00A72B29">
        <w:rPr>
          <w:rFonts w:ascii="Century Gothic" w:hAnsi="Century Gothic"/>
          <w:sz w:val="18"/>
          <w:szCs w:val="18"/>
        </w:rPr>
        <w:t>THERON (Julien), « Les tribunaux de commerce renforcés par le projet de la loi de modernisation de la Justice du XXIe siècle », Gaz. Pal. 30 août 2016, p. 52-55.</w:t>
      </w:r>
    </w:p>
    <w:p w:rsidR="00731B7B" w:rsidRPr="00A72B29" w:rsidRDefault="00731B7B" w:rsidP="00731B7B">
      <w:pPr>
        <w:spacing w:after="120"/>
        <w:jc w:val="both"/>
        <w:rPr>
          <w:rFonts w:ascii="Century Gothic" w:eastAsia="Times" w:hAnsi="Century Gothic"/>
          <w:noProof/>
          <w:sz w:val="18"/>
          <w:szCs w:val="18"/>
        </w:rPr>
      </w:pPr>
    </w:p>
    <w:p w:rsidR="00731B7B" w:rsidRPr="00A72B29" w:rsidRDefault="00731B7B" w:rsidP="00731B7B">
      <w:pPr>
        <w:pStyle w:val="Paragraphedeliste"/>
        <w:numPr>
          <w:ilvl w:val="0"/>
          <w:numId w:val="1"/>
        </w:numPr>
        <w:spacing w:after="120"/>
        <w:jc w:val="both"/>
        <w:rPr>
          <w:rFonts w:ascii="Century Gothic" w:eastAsia="Times" w:hAnsi="Century Gothic"/>
          <w:i/>
          <w:noProof/>
          <w:sz w:val="18"/>
          <w:szCs w:val="18"/>
        </w:rPr>
      </w:pPr>
      <w:r w:rsidRPr="00A72B29">
        <w:rPr>
          <w:rFonts w:ascii="Century Gothic" w:hAnsi="Century Gothic"/>
          <w:sz w:val="18"/>
          <w:szCs w:val="18"/>
        </w:rPr>
        <w:t>THERON (Julien) « Les procédures collectives révélatrices des limites de la propriété ? », Revue des procédures collectives 2017, n°6, p. 71-74</w:t>
      </w:r>
    </w:p>
    <w:p w:rsidR="00731B7B" w:rsidRPr="00A72B29" w:rsidRDefault="00731B7B" w:rsidP="00731B7B">
      <w:pPr>
        <w:pStyle w:val="Paragraphedeliste"/>
        <w:spacing w:after="120"/>
        <w:jc w:val="both"/>
        <w:rPr>
          <w:rFonts w:ascii="Century Gothic" w:eastAsia="Times" w:hAnsi="Century Gothic"/>
          <w:i/>
          <w:noProof/>
          <w:sz w:val="18"/>
          <w:szCs w:val="18"/>
        </w:rPr>
      </w:pPr>
    </w:p>
    <w:p w:rsidR="00731B7B" w:rsidRPr="00A72B29" w:rsidRDefault="00731B7B" w:rsidP="00731B7B">
      <w:pPr>
        <w:pStyle w:val="Paragraphedeliste"/>
        <w:numPr>
          <w:ilvl w:val="0"/>
          <w:numId w:val="2"/>
        </w:numPr>
        <w:spacing w:after="200"/>
        <w:jc w:val="both"/>
        <w:rPr>
          <w:rFonts w:ascii="Century Gothic" w:hAnsi="Century Gothic"/>
          <w:sz w:val="18"/>
          <w:szCs w:val="18"/>
        </w:rPr>
      </w:pPr>
      <w:r w:rsidRPr="00A72B29">
        <w:rPr>
          <w:rFonts w:ascii="Century Gothic" w:hAnsi="Century Gothic"/>
          <w:sz w:val="18"/>
          <w:szCs w:val="18"/>
        </w:rPr>
        <w:t xml:space="preserve">THERON (Julien) « Créances postérieures », en collaboration avec S. </w:t>
      </w:r>
      <w:proofErr w:type="spellStart"/>
      <w:r w:rsidRPr="00A72B29">
        <w:rPr>
          <w:rFonts w:ascii="Century Gothic" w:hAnsi="Century Gothic"/>
          <w:sz w:val="18"/>
          <w:szCs w:val="18"/>
        </w:rPr>
        <w:t>Hoareau</w:t>
      </w:r>
      <w:proofErr w:type="spellEnd"/>
      <w:r w:rsidRPr="00A72B29">
        <w:rPr>
          <w:rFonts w:ascii="Century Gothic" w:hAnsi="Century Gothic"/>
          <w:sz w:val="18"/>
          <w:szCs w:val="18"/>
        </w:rPr>
        <w:t>, Bulletin Joly Entreprises en difficulté 2017, n°1, pp. 60-62.</w:t>
      </w:r>
    </w:p>
    <w:p w:rsidR="00731B7B" w:rsidRPr="00A72B29" w:rsidRDefault="00731B7B" w:rsidP="00731B7B">
      <w:pPr>
        <w:pStyle w:val="Paragraphedeliste"/>
        <w:jc w:val="both"/>
        <w:rPr>
          <w:rFonts w:ascii="Century Gothic" w:hAnsi="Century Gothic"/>
          <w:sz w:val="18"/>
          <w:szCs w:val="18"/>
        </w:rPr>
      </w:pPr>
    </w:p>
    <w:p w:rsidR="00731B7B" w:rsidRDefault="00731B7B" w:rsidP="00731B7B">
      <w:pPr>
        <w:pStyle w:val="Paragraphedeliste"/>
        <w:numPr>
          <w:ilvl w:val="0"/>
          <w:numId w:val="2"/>
        </w:numPr>
        <w:spacing w:after="200"/>
        <w:jc w:val="both"/>
        <w:rPr>
          <w:rFonts w:ascii="Century Gothic" w:hAnsi="Century Gothic"/>
          <w:sz w:val="18"/>
          <w:szCs w:val="18"/>
        </w:rPr>
      </w:pPr>
      <w:r w:rsidRPr="00A72B29">
        <w:rPr>
          <w:rFonts w:ascii="Century Gothic" w:hAnsi="Century Gothic"/>
          <w:sz w:val="18"/>
          <w:szCs w:val="18"/>
        </w:rPr>
        <w:t xml:space="preserve">THERON (Julien) « Les nouveaux moyens procéduraux », </w:t>
      </w:r>
      <w:r w:rsidRPr="00A72B29">
        <w:rPr>
          <w:rFonts w:ascii="Century Gothic" w:hAnsi="Century Gothic"/>
          <w:i/>
          <w:sz w:val="18"/>
          <w:szCs w:val="18"/>
        </w:rPr>
        <w:t>Dossier Le droit des entreprises en difficulté, le renouvellement des enjeux</w:t>
      </w:r>
      <w:r w:rsidRPr="00A72B29">
        <w:rPr>
          <w:rFonts w:ascii="Century Gothic" w:hAnsi="Century Gothic"/>
          <w:sz w:val="18"/>
          <w:szCs w:val="18"/>
        </w:rPr>
        <w:t>, Revue des procédures collectives 2017, n°4, p. 62-66.</w:t>
      </w:r>
    </w:p>
    <w:p w:rsidR="00731B7B" w:rsidRPr="00A72B29" w:rsidRDefault="00731B7B" w:rsidP="00731B7B">
      <w:pPr>
        <w:pStyle w:val="Paragraphedeliste"/>
        <w:rPr>
          <w:rFonts w:ascii="Century Gothic" w:hAnsi="Century Gothic"/>
          <w:sz w:val="18"/>
          <w:szCs w:val="18"/>
        </w:rPr>
      </w:pPr>
    </w:p>
    <w:p w:rsidR="00731B7B" w:rsidRPr="00A72B29" w:rsidRDefault="00731B7B" w:rsidP="00731B7B">
      <w:pPr>
        <w:pStyle w:val="Paragraphedeliste"/>
        <w:spacing w:after="200"/>
        <w:ind w:left="643"/>
        <w:jc w:val="both"/>
        <w:rPr>
          <w:rFonts w:ascii="Century Gothic" w:hAnsi="Century Gothic"/>
          <w:sz w:val="18"/>
          <w:szCs w:val="18"/>
        </w:rPr>
      </w:pPr>
    </w:p>
    <w:p w:rsidR="00731B7B" w:rsidRPr="00A72B29" w:rsidRDefault="00731B7B" w:rsidP="00731B7B">
      <w:pPr>
        <w:pStyle w:val="Paragraphedeliste"/>
        <w:numPr>
          <w:ilvl w:val="0"/>
          <w:numId w:val="2"/>
        </w:numPr>
        <w:spacing w:after="200"/>
        <w:jc w:val="both"/>
        <w:rPr>
          <w:rFonts w:ascii="Century Gothic" w:hAnsi="Century Gothic"/>
          <w:sz w:val="18"/>
          <w:szCs w:val="18"/>
        </w:rPr>
      </w:pPr>
      <w:r w:rsidRPr="00A72B29">
        <w:rPr>
          <w:rFonts w:ascii="Century Gothic" w:hAnsi="Century Gothic"/>
          <w:sz w:val="18"/>
          <w:szCs w:val="18"/>
        </w:rPr>
        <w:t>THERON (Julien) « Valorisation et optimisation des cessions d'actifs : mieux vendre ! », BJE 2018, n°5, p. 383-388</w:t>
      </w:r>
    </w:p>
    <w:p w:rsidR="00731B7B" w:rsidRPr="00A72B29" w:rsidRDefault="00731B7B" w:rsidP="00731B7B">
      <w:pPr>
        <w:pStyle w:val="Paragraphedeliste"/>
        <w:ind w:left="714"/>
        <w:jc w:val="both"/>
        <w:rPr>
          <w:rFonts w:ascii="Century Gothic" w:hAnsi="Century Gothic"/>
          <w:sz w:val="18"/>
          <w:szCs w:val="18"/>
        </w:rPr>
      </w:pPr>
    </w:p>
    <w:p w:rsidR="00731B7B" w:rsidRPr="00A72B29" w:rsidRDefault="00731B7B" w:rsidP="00731B7B">
      <w:pPr>
        <w:pStyle w:val="Paragraphedeliste"/>
        <w:numPr>
          <w:ilvl w:val="0"/>
          <w:numId w:val="2"/>
        </w:numPr>
        <w:spacing w:after="200"/>
        <w:jc w:val="both"/>
        <w:rPr>
          <w:rFonts w:ascii="Century Gothic" w:hAnsi="Century Gothic"/>
          <w:sz w:val="18"/>
          <w:szCs w:val="18"/>
        </w:rPr>
      </w:pPr>
      <w:r w:rsidRPr="00A72B29">
        <w:rPr>
          <w:rFonts w:ascii="Century Gothic" w:hAnsi="Century Gothic"/>
          <w:sz w:val="18"/>
          <w:szCs w:val="18"/>
        </w:rPr>
        <w:t>THERON (Julien) « Combattre un monstre juridique : la « propriété inopposable », Recueil Dalloz 2018, p. 2424.</w:t>
      </w:r>
    </w:p>
    <w:p w:rsidR="00731B7B" w:rsidRPr="00A72B29" w:rsidRDefault="00731B7B" w:rsidP="00731B7B">
      <w:pPr>
        <w:pStyle w:val="Paragraphedeliste"/>
        <w:rPr>
          <w:rFonts w:ascii="Century Gothic" w:hAnsi="Century Gothic"/>
          <w:sz w:val="18"/>
          <w:szCs w:val="18"/>
        </w:rPr>
      </w:pPr>
    </w:p>
    <w:p w:rsidR="00731B7B" w:rsidRPr="00A72B29" w:rsidRDefault="00731B7B" w:rsidP="00731B7B">
      <w:pPr>
        <w:pStyle w:val="Paragraphedeliste"/>
        <w:numPr>
          <w:ilvl w:val="0"/>
          <w:numId w:val="2"/>
        </w:numPr>
        <w:spacing w:after="200"/>
        <w:jc w:val="both"/>
        <w:rPr>
          <w:rFonts w:ascii="Century Gothic" w:eastAsia="Times" w:hAnsi="Century Gothic"/>
          <w:noProof/>
          <w:sz w:val="18"/>
          <w:szCs w:val="18"/>
        </w:rPr>
      </w:pPr>
      <w:r w:rsidRPr="00A72B29">
        <w:rPr>
          <w:rFonts w:ascii="Century Gothic" w:hAnsi="Century Gothic"/>
          <w:sz w:val="18"/>
          <w:szCs w:val="18"/>
        </w:rPr>
        <w:t xml:space="preserve">THERON (Julien) « Bail professionnel, questions de responsabilité », BJE </w:t>
      </w:r>
      <w:r w:rsidRPr="00A72B29">
        <w:rPr>
          <w:rFonts w:ascii="Century Gothic" w:eastAsia="Times" w:hAnsi="Century Gothic"/>
          <w:noProof/>
          <w:sz w:val="18"/>
          <w:szCs w:val="18"/>
        </w:rPr>
        <w:t>2019, p. 55.</w:t>
      </w:r>
    </w:p>
    <w:p w:rsidR="007761D5" w:rsidRPr="00AC40EB" w:rsidRDefault="007761D5" w:rsidP="00AC40EB">
      <w:bookmarkStart w:id="0" w:name="_GoBack"/>
      <w:bookmarkEnd w:id="0"/>
    </w:p>
    <w:sectPr w:rsidR="007761D5" w:rsidRPr="00AC4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D95DAA"/>
    <w:multiLevelType w:val="hybridMultilevel"/>
    <w:tmpl w:val="F8BE51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53981"/>
    <w:multiLevelType w:val="hybridMultilevel"/>
    <w:tmpl w:val="7DF6DA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7B"/>
    <w:rsid w:val="00731B7B"/>
    <w:rsid w:val="007761D5"/>
    <w:rsid w:val="007A24F8"/>
    <w:rsid w:val="00AC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6B377D-EC57-4EEF-9330-7A1EAC74E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B7B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31B7B"/>
    <w:pPr>
      <w:ind w:left="720"/>
      <w:contextualSpacing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UT1C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SABATHIER</dc:creator>
  <cp:keywords/>
  <dc:description/>
  <cp:lastModifiedBy>SOPHIE SABATHIER</cp:lastModifiedBy>
  <cp:revision>1</cp:revision>
  <dcterms:created xsi:type="dcterms:W3CDTF">2019-08-25T09:18:00Z</dcterms:created>
  <dcterms:modified xsi:type="dcterms:W3CDTF">2019-08-25T09:19:00Z</dcterms:modified>
</cp:coreProperties>
</file>