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4C1" w:rsidRPr="00586C98" w:rsidRDefault="001764C1" w:rsidP="001764C1">
      <w:pPr>
        <w:spacing w:after="120"/>
        <w:jc w:val="both"/>
        <w:rPr>
          <w:rFonts w:ascii="Century Gothic" w:eastAsia="Times" w:hAnsi="Century Gothic"/>
          <w:b/>
          <w:bCs/>
          <w:noProof/>
          <w:sz w:val="18"/>
          <w:szCs w:val="18"/>
        </w:rPr>
      </w:pPr>
      <w:r w:rsidRPr="00586C98">
        <w:rPr>
          <w:rFonts w:ascii="Century Gothic" w:eastAsia="Times" w:hAnsi="Century Gothic"/>
          <w:b/>
          <w:bCs/>
          <w:noProof/>
          <w:sz w:val="18"/>
          <w:szCs w:val="18"/>
        </w:rPr>
        <w:t>Hélène POUJADE</w:t>
      </w:r>
    </w:p>
    <w:p w:rsidR="001764C1" w:rsidRPr="00A72B29" w:rsidRDefault="001764C1" w:rsidP="001764C1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sz w:val="18"/>
          <w:szCs w:val="18"/>
        </w:rPr>
      </w:pPr>
    </w:p>
    <w:p w:rsidR="001764C1" w:rsidRPr="00A72B29" w:rsidRDefault="001764C1" w:rsidP="001764C1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POUJADE (Hélène) et VIGREUX (Sébastien), Le montage des plans. </w:t>
      </w:r>
      <w:r w:rsidRPr="00A72B29">
        <w:rPr>
          <w:rFonts w:ascii="Century Gothic" w:eastAsia="Times" w:hAnsi="Century Gothic"/>
          <w:i/>
          <w:noProof/>
          <w:sz w:val="18"/>
        </w:rPr>
        <w:t>In</w:t>
      </w:r>
      <w:r w:rsidRPr="00A72B29">
        <w:rPr>
          <w:rFonts w:ascii="Century Gothic" w:eastAsia="Times" w:hAnsi="Century Gothic"/>
          <w:noProof/>
          <w:sz w:val="18"/>
        </w:rPr>
        <w:t xml:space="preserve"> : Le traitement des créances : pratiques et actualités (Colloque UT1 Capitole) Bulletin Joly entreprises en difficulté (1).  2017, p. 78.</w:t>
      </w:r>
    </w:p>
    <w:p w:rsidR="001764C1" w:rsidRPr="00A72B29" w:rsidRDefault="001764C1" w:rsidP="001764C1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</w:rPr>
      </w:pPr>
    </w:p>
    <w:p w:rsidR="001764C1" w:rsidRPr="00A72B29" w:rsidRDefault="001764C1" w:rsidP="001764C1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POUJADE (Hélène), L'essor de la prévention.  </w:t>
      </w:r>
      <w:r w:rsidRPr="00A72B29">
        <w:rPr>
          <w:rFonts w:ascii="Century Gothic" w:eastAsia="Times" w:hAnsi="Century Gothic"/>
          <w:i/>
          <w:noProof/>
          <w:sz w:val="18"/>
        </w:rPr>
        <w:t xml:space="preserve"> In</w:t>
      </w:r>
      <w:r w:rsidRPr="00A72B29">
        <w:rPr>
          <w:rFonts w:ascii="Century Gothic" w:eastAsia="Times" w:hAnsi="Century Gothic"/>
          <w:noProof/>
          <w:sz w:val="18"/>
        </w:rPr>
        <w:t xml:space="preserve"> : Le droit des entreprises en difficulté après 30 ans : droit dérogatoire, précurseur ou révélateur ?   Presses Université Toulouse 1 Capitole / LGDJ.  Series “Colloques de l'IFR : 30”, p. 271-286.</w:t>
      </w:r>
    </w:p>
    <w:p w:rsidR="001764C1" w:rsidRPr="00A72B29" w:rsidRDefault="001764C1" w:rsidP="001764C1">
      <w:pPr>
        <w:pStyle w:val="Paragraphedeliste"/>
        <w:rPr>
          <w:rFonts w:ascii="Century Gothic" w:eastAsia="Times" w:hAnsi="Century Gothic"/>
          <w:noProof/>
          <w:sz w:val="18"/>
        </w:rPr>
      </w:pPr>
    </w:p>
    <w:p w:rsidR="007761D5" w:rsidRPr="00AC40EB" w:rsidRDefault="007761D5" w:rsidP="00AC40EB">
      <w:bookmarkStart w:id="0" w:name="_GoBack"/>
      <w:bookmarkEnd w:id="0"/>
    </w:p>
    <w:sectPr w:rsidR="007761D5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2224B"/>
    <w:multiLevelType w:val="hybridMultilevel"/>
    <w:tmpl w:val="8E502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C1"/>
    <w:rsid w:val="001764C1"/>
    <w:rsid w:val="007761D5"/>
    <w:rsid w:val="007A24F8"/>
    <w:rsid w:val="00A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10B09-F72A-4763-8882-95F7DA93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4C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64C1"/>
    <w:pPr>
      <w:ind w:left="720"/>
      <w:contextualSpacing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SABATHIER</dc:creator>
  <cp:keywords/>
  <dc:description/>
  <cp:lastModifiedBy>SOPHIE SABATHIER</cp:lastModifiedBy>
  <cp:revision>1</cp:revision>
  <dcterms:created xsi:type="dcterms:W3CDTF">2019-08-25T10:00:00Z</dcterms:created>
  <dcterms:modified xsi:type="dcterms:W3CDTF">2019-08-25T10:00:00Z</dcterms:modified>
</cp:coreProperties>
</file>