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3B5" w:rsidRPr="00586C98" w:rsidRDefault="00DF53B5" w:rsidP="00DF53B5">
      <w:pPr>
        <w:spacing w:after="200"/>
        <w:jc w:val="both"/>
        <w:rPr>
          <w:rFonts w:ascii="Century Gothic" w:hAnsi="Century Gothic"/>
          <w:b/>
          <w:bCs/>
          <w:sz w:val="18"/>
          <w:szCs w:val="18"/>
        </w:rPr>
      </w:pPr>
      <w:r w:rsidRPr="00586C98">
        <w:rPr>
          <w:rFonts w:ascii="Century Gothic" w:hAnsi="Century Gothic"/>
          <w:b/>
          <w:bCs/>
          <w:sz w:val="18"/>
          <w:szCs w:val="18"/>
        </w:rPr>
        <w:t xml:space="preserve">Gérard </w:t>
      </w:r>
      <w:proofErr w:type="spellStart"/>
      <w:r w:rsidRPr="00586C98">
        <w:rPr>
          <w:rFonts w:ascii="Century Gothic" w:hAnsi="Century Gothic"/>
          <w:b/>
          <w:bCs/>
          <w:sz w:val="18"/>
          <w:szCs w:val="18"/>
        </w:rPr>
        <w:t>Jazottes</w:t>
      </w:r>
      <w:proofErr w:type="spellEnd"/>
    </w:p>
    <w:p w:rsidR="00DF53B5" w:rsidRPr="00A72B29" w:rsidRDefault="00DF53B5" w:rsidP="00DF53B5">
      <w:pPr>
        <w:spacing w:after="200"/>
        <w:jc w:val="both"/>
        <w:rPr>
          <w:rFonts w:ascii="Century Gothic" w:hAnsi="Century Gothic"/>
          <w:sz w:val="18"/>
          <w:szCs w:val="18"/>
        </w:rPr>
      </w:pPr>
    </w:p>
    <w:p w:rsidR="00DF53B5" w:rsidRPr="00A72B29" w:rsidRDefault="00DF53B5" w:rsidP="00DF53B5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hAnsi="Century Gothic"/>
          <w:sz w:val="18"/>
          <w:szCs w:val="18"/>
        </w:rPr>
        <w:t xml:space="preserve">JAZOTTES (Gérard) La protection des droits des créanciers, dans Ordonnance du 12 mars 2014 : une nouvelle métamorphose du « droit des faillites », </w:t>
      </w:r>
      <w:proofErr w:type="spellStart"/>
      <w:r w:rsidRPr="00A72B29">
        <w:rPr>
          <w:rFonts w:ascii="Century Gothic" w:hAnsi="Century Gothic"/>
          <w:sz w:val="18"/>
          <w:szCs w:val="18"/>
        </w:rPr>
        <w:t>Rev</w:t>
      </w:r>
      <w:proofErr w:type="spellEnd"/>
      <w:r w:rsidRPr="00A72B29">
        <w:rPr>
          <w:rFonts w:ascii="Century Gothic" w:hAnsi="Century Gothic"/>
          <w:sz w:val="18"/>
          <w:szCs w:val="18"/>
        </w:rPr>
        <w:t>. Dr.et patrimoine 2014, n° 238, p. 73.</w:t>
      </w:r>
    </w:p>
    <w:p w:rsidR="00DF53B5" w:rsidRPr="00A72B29" w:rsidRDefault="00DF53B5" w:rsidP="00DF53B5">
      <w:pPr>
        <w:spacing w:after="200"/>
        <w:jc w:val="both"/>
        <w:rPr>
          <w:rFonts w:ascii="Century Gothic" w:hAnsi="Century Gothic"/>
          <w:sz w:val="18"/>
          <w:szCs w:val="18"/>
        </w:rPr>
      </w:pPr>
    </w:p>
    <w:p w:rsidR="00DF53B5" w:rsidRPr="00A72B29" w:rsidRDefault="00DF53B5" w:rsidP="00DF53B5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 w:rsidRPr="00A72B29">
        <w:rPr>
          <w:rFonts w:ascii="Century Gothic" w:hAnsi="Century Gothic"/>
          <w:sz w:val="18"/>
          <w:szCs w:val="18"/>
        </w:rPr>
        <w:t xml:space="preserve">JAZOTTES (Gérard), « La mise en place d’une « nouvelle » procédure de sauvegarde accélérée et le maintien de la sauvegarde financière accélérée », La Gazette du Palais, éd. </w:t>
      </w:r>
      <w:proofErr w:type="gramStart"/>
      <w:r w:rsidRPr="00A72B29">
        <w:rPr>
          <w:rFonts w:ascii="Century Gothic" w:hAnsi="Century Gothic"/>
          <w:sz w:val="18"/>
          <w:szCs w:val="18"/>
        </w:rPr>
        <w:t>spécialisée</w:t>
      </w:r>
      <w:proofErr w:type="gramEnd"/>
      <w:r w:rsidRPr="00A72B29">
        <w:rPr>
          <w:rFonts w:ascii="Century Gothic" w:hAnsi="Century Gothic"/>
          <w:sz w:val="18"/>
          <w:szCs w:val="18"/>
        </w:rPr>
        <w:t>, 31 déc. 2014 au 3 janv. 2015, p. 9.</w:t>
      </w:r>
    </w:p>
    <w:p w:rsidR="00DF53B5" w:rsidRPr="00A72B29" w:rsidRDefault="00DF53B5" w:rsidP="00DF53B5">
      <w:pPr>
        <w:pStyle w:val="Paragraphedeliste"/>
        <w:rPr>
          <w:rFonts w:ascii="Century Gothic" w:eastAsia="Times" w:hAnsi="Century Gothic"/>
          <w:noProof/>
          <w:sz w:val="18"/>
          <w:szCs w:val="18"/>
        </w:rPr>
      </w:pPr>
    </w:p>
    <w:p w:rsidR="00DF53B5" w:rsidRPr="00A72B29" w:rsidRDefault="00DF53B5" w:rsidP="00DF53B5">
      <w:pPr>
        <w:pStyle w:val="Paragraphedeliste"/>
        <w:spacing w:after="120"/>
        <w:ind w:left="643"/>
        <w:jc w:val="both"/>
        <w:rPr>
          <w:rFonts w:ascii="Century Gothic" w:eastAsia="Times" w:hAnsi="Century Gothic"/>
          <w:noProof/>
          <w:sz w:val="18"/>
          <w:szCs w:val="18"/>
        </w:rPr>
      </w:pPr>
    </w:p>
    <w:p w:rsidR="00DF53B5" w:rsidRDefault="00DF53B5" w:rsidP="00DF53B5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hAnsi="Century Gothic"/>
          <w:sz w:val="18"/>
          <w:szCs w:val="18"/>
        </w:rPr>
        <w:t xml:space="preserve">JAZOTTES (Gérard), La question de la cession du fonds libéral, in Les cessions isolées d’actifs, Colloque CREDIF-CDA, AJDE, 3 oct. 2014, </w:t>
      </w:r>
      <w:proofErr w:type="spellStart"/>
      <w:r w:rsidRPr="00A72B29">
        <w:rPr>
          <w:rFonts w:ascii="Century Gothic" w:hAnsi="Century Gothic"/>
          <w:sz w:val="18"/>
          <w:szCs w:val="18"/>
        </w:rPr>
        <w:t>Rev</w:t>
      </w:r>
      <w:proofErr w:type="spellEnd"/>
      <w:r w:rsidRPr="00A72B29">
        <w:rPr>
          <w:rFonts w:ascii="Century Gothic" w:hAnsi="Century Gothic"/>
          <w:sz w:val="18"/>
          <w:szCs w:val="18"/>
        </w:rPr>
        <w:t>. Proc. Coll. 2015/2, Dossier n° 24, p. 50.</w:t>
      </w:r>
    </w:p>
    <w:p w:rsidR="00DF53B5" w:rsidRPr="00611DD3" w:rsidRDefault="00DF53B5" w:rsidP="00DF53B5">
      <w:pPr>
        <w:spacing w:after="200"/>
        <w:jc w:val="both"/>
        <w:rPr>
          <w:rFonts w:ascii="Century Gothic" w:hAnsi="Century Gothic"/>
          <w:sz w:val="18"/>
          <w:szCs w:val="18"/>
        </w:rPr>
      </w:pPr>
    </w:p>
    <w:p w:rsidR="00DF53B5" w:rsidRPr="00A72B29" w:rsidRDefault="00DF53B5" w:rsidP="00DF53B5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hAnsi="Century Gothic"/>
          <w:sz w:val="18"/>
          <w:szCs w:val="18"/>
        </w:rPr>
        <w:t>JAZOTTES (Gérard), « Déclaration par le débiteur : retour d’expériences et difficultés », avec Me François Legrand, Colloque AJDE/CDA, Le traitement des créances : pratiques et actualités, Toulouse, 7 octobre 2016, Bull. Joly Entreprises en difficulté, janv. Févr. 2017, n° 114b4, p. 66.</w:t>
      </w:r>
    </w:p>
    <w:p w:rsidR="00DF53B5" w:rsidRPr="00A72B29" w:rsidRDefault="00DF53B5" w:rsidP="00DF53B5">
      <w:pPr>
        <w:pStyle w:val="Paragraphedeliste"/>
        <w:rPr>
          <w:rFonts w:ascii="Century Gothic" w:hAnsi="Century Gothic"/>
          <w:sz w:val="18"/>
          <w:szCs w:val="18"/>
        </w:rPr>
      </w:pPr>
    </w:p>
    <w:p w:rsidR="00DF53B5" w:rsidRPr="00A72B29" w:rsidRDefault="00DF53B5" w:rsidP="00DF53B5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hAnsi="Century Gothic"/>
          <w:sz w:val="18"/>
          <w:szCs w:val="18"/>
        </w:rPr>
        <w:t xml:space="preserve">JAZOTTES (Gérard), « Un droit inféodé aux autres droits- Droit de la concurrence, Dans Le droit des entreprises en difficulté après 30 ans : droit dérogatoire, précurseur ou révélateur ? » F. </w:t>
      </w:r>
      <w:proofErr w:type="spellStart"/>
      <w:r w:rsidRPr="00A72B29">
        <w:rPr>
          <w:rFonts w:ascii="Century Gothic" w:hAnsi="Century Gothic"/>
          <w:sz w:val="18"/>
          <w:szCs w:val="18"/>
        </w:rPr>
        <w:t>Macorig-Venier</w:t>
      </w:r>
      <w:proofErr w:type="spellEnd"/>
      <w:r w:rsidRPr="00A72B29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A72B29">
        <w:rPr>
          <w:rFonts w:ascii="Century Gothic" w:hAnsi="Century Gothic"/>
          <w:sz w:val="18"/>
          <w:szCs w:val="18"/>
        </w:rPr>
        <w:t>dir</w:t>
      </w:r>
      <w:proofErr w:type="spellEnd"/>
      <w:r w:rsidRPr="00A72B29">
        <w:rPr>
          <w:rFonts w:ascii="Century Gothic" w:hAnsi="Century Gothic"/>
          <w:sz w:val="18"/>
          <w:szCs w:val="18"/>
        </w:rPr>
        <w:t>., Presses de l’université Toulouse 1 Capitole, 2017.</w:t>
      </w:r>
    </w:p>
    <w:p w:rsidR="00DF53B5" w:rsidRPr="00A72B29" w:rsidRDefault="00DF53B5" w:rsidP="00DF53B5">
      <w:pPr>
        <w:pStyle w:val="Paragraphedeliste"/>
        <w:spacing w:after="120"/>
        <w:rPr>
          <w:rFonts w:ascii="Century Gothic" w:eastAsia="Times" w:hAnsi="Century Gothic"/>
          <w:i/>
          <w:noProof/>
          <w:sz w:val="18"/>
          <w:szCs w:val="18"/>
        </w:rPr>
      </w:pPr>
    </w:p>
    <w:p w:rsidR="00DF53B5" w:rsidRPr="00A72B29" w:rsidRDefault="00DF53B5" w:rsidP="00DF53B5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 w:rsidRPr="00A72B29">
        <w:rPr>
          <w:rFonts w:ascii="Century Gothic" w:hAnsi="Century Gothic"/>
          <w:sz w:val="18"/>
          <w:szCs w:val="18"/>
        </w:rPr>
        <w:t xml:space="preserve">JAZOTTES (Gérard), « La procédure et les modalités de la revendication, quelques décisions récentes en guise d’introduction », Colloque AJDE/CDA, Propriété et procédures collectives, Toulouse, 13 octobre 2017, </w:t>
      </w:r>
      <w:proofErr w:type="spellStart"/>
      <w:r w:rsidRPr="00A72B29">
        <w:rPr>
          <w:rFonts w:ascii="Century Gothic" w:hAnsi="Century Gothic"/>
          <w:sz w:val="18"/>
          <w:szCs w:val="18"/>
        </w:rPr>
        <w:t>Rev</w:t>
      </w:r>
      <w:proofErr w:type="spellEnd"/>
      <w:r w:rsidRPr="00A72B29">
        <w:rPr>
          <w:rFonts w:ascii="Century Gothic" w:hAnsi="Century Gothic"/>
          <w:sz w:val="18"/>
          <w:szCs w:val="18"/>
        </w:rPr>
        <w:t xml:space="preserve">. </w:t>
      </w:r>
      <w:proofErr w:type="spellStart"/>
      <w:r w:rsidRPr="00A72B29">
        <w:rPr>
          <w:rFonts w:ascii="Century Gothic" w:hAnsi="Century Gothic"/>
          <w:sz w:val="18"/>
          <w:szCs w:val="18"/>
        </w:rPr>
        <w:t>proc.coll</w:t>
      </w:r>
      <w:proofErr w:type="spellEnd"/>
      <w:r w:rsidRPr="00A72B29">
        <w:rPr>
          <w:rFonts w:ascii="Century Gothic" w:hAnsi="Century Gothic"/>
          <w:sz w:val="18"/>
          <w:szCs w:val="18"/>
        </w:rPr>
        <w:t>. 2017-6, dossier 17.</w:t>
      </w:r>
    </w:p>
    <w:p w:rsidR="00DF53B5" w:rsidRPr="00A72B29" w:rsidRDefault="00DF53B5" w:rsidP="00DF53B5">
      <w:pPr>
        <w:pStyle w:val="Paragraphedeliste"/>
        <w:rPr>
          <w:rFonts w:ascii="Century Gothic" w:eastAsia="Times" w:hAnsi="Century Gothic"/>
          <w:noProof/>
          <w:sz w:val="18"/>
          <w:szCs w:val="18"/>
        </w:rPr>
      </w:pPr>
    </w:p>
    <w:p w:rsidR="00DF53B5" w:rsidRPr="00A72B29" w:rsidRDefault="00DF53B5" w:rsidP="00DF53B5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 w:rsidRPr="00A72B29">
        <w:rPr>
          <w:rFonts w:ascii="Century Gothic" w:hAnsi="Century Gothic"/>
          <w:sz w:val="18"/>
          <w:szCs w:val="18"/>
        </w:rPr>
        <w:t>JAZOTTES (Gérard), « Droit des contrats et droit des entreprises en difficulté, continuité ou renouveau ? », Colloque AJDE/CDA, Contrat(s) et procédures collectives, 12 octobre 2018, Bull. Joly Entreprises en difficulté, 2019-1, p. 38, 116, p4.</w:t>
      </w:r>
    </w:p>
    <w:p w:rsidR="00DF53B5" w:rsidRDefault="00DF53B5" w:rsidP="00DF53B5">
      <w:pPr>
        <w:pStyle w:val="Paragraphedeliste"/>
        <w:spacing w:after="120"/>
        <w:ind w:left="643"/>
        <w:jc w:val="both"/>
        <w:rPr>
          <w:rFonts w:ascii="Century Gothic" w:eastAsia="Times" w:hAnsi="Century Gothic"/>
          <w:noProof/>
          <w:sz w:val="18"/>
          <w:szCs w:val="18"/>
        </w:rPr>
      </w:pPr>
    </w:p>
    <w:p w:rsidR="007761D5" w:rsidRPr="00AC40EB" w:rsidRDefault="007761D5" w:rsidP="00AC40EB">
      <w:bookmarkStart w:id="0" w:name="_GoBack"/>
      <w:bookmarkEnd w:id="0"/>
    </w:p>
    <w:sectPr w:rsidR="007761D5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705EA"/>
    <w:multiLevelType w:val="hybridMultilevel"/>
    <w:tmpl w:val="048CCE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B5"/>
    <w:rsid w:val="007761D5"/>
    <w:rsid w:val="007A24F8"/>
    <w:rsid w:val="00AC40EB"/>
    <w:rsid w:val="00D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28F6C-CB82-44EA-B87D-C3861FCC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3B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3B5"/>
    <w:pPr>
      <w:ind w:left="720"/>
      <w:contextualSpacing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SABATHIER</dc:creator>
  <cp:keywords/>
  <dc:description/>
  <cp:lastModifiedBy>SOPHIE SABATHIER</cp:lastModifiedBy>
  <cp:revision>1</cp:revision>
  <dcterms:created xsi:type="dcterms:W3CDTF">2019-08-25T10:24:00Z</dcterms:created>
  <dcterms:modified xsi:type="dcterms:W3CDTF">2019-08-25T10:24:00Z</dcterms:modified>
</cp:coreProperties>
</file>