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70" w:rsidRDefault="00765770" w:rsidP="00765770">
      <w:pPr>
        <w:pStyle w:val="Paragraphedeliste"/>
        <w:spacing w:after="120"/>
        <w:ind w:left="643"/>
        <w:jc w:val="both"/>
        <w:rPr>
          <w:rFonts w:ascii="Century Gothic" w:eastAsia="Times" w:hAnsi="Century Gothic"/>
          <w:noProof/>
          <w:sz w:val="18"/>
          <w:szCs w:val="18"/>
        </w:rPr>
      </w:pPr>
    </w:p>
    <w:p w:rsidR="00765770" w:rsidRPr="00586C98" w:rsidRDefault="00765770" w:rsidP="00765770">
      <w:pPr>
        <w:pStyle w:val="Paragraphedeliste"/>
        <w:spacing w:after="120"/>
        <w:ind w:left="0"/>
        <w:jc w:val="both"/>
        <w:rPr>
          <w:rFonts w:ascii="Century Gothic" w:eastAsia="Times" w:hAnsi="Century Gothic"/>
          <w:b/>
          <w:bCs/>
          <w:noProof/>
          <w:sz w:val="18"/>
          <w:szCs w:val="18"/>
        </w:rPr>
      </w:pPr>
      <w:r w:rsidRPr="00586C98">
        <w:rPr>
          <w:rFonts w:ascii="Century Gothic" w:eastAsia="Times" w:hAnsi="Century Gothic"/>
          <w:b/>
          <w:bCs/>
          <w:noProof/>
          <w:sz w:val="18"/>
          <w:szCs w:val="18"/>
        </w:rPr>
        <w:t>Francine Macorig-Venier</w:t>
      </w:r>
    </w:p>
    <w:p w:rsidR="00765770" w:rsidRDefault="00765770" w:rsidP="00765770">
      <w:pPr>
        <w:pStyle w:val="Paragraphedeliste"/>
        <w:spacing w:after="120"/>
        <w:ind w:left="643"/>
        <w:jc w:val="both"/>
        <w:rPr>
          <w:rFonts w:ascii="Century Gothic" w:eastAsia="Times" w:hAnsi="Century Gothic"/>
          <w:noProof/>
          <w:sz w:val="18"/>
          <w:szCs w:val="18"/>
        </w:rPr>
      </w:pPr>
    </w:p>
    <w:p w:rsidR="00765770" w:rsidRPr="00A72B29" w:rsidRDefault="00765770" w:rsidP="00765770">
      <w:pPr>
        <w:pStyle w:val="Paragraphedeliste"/>
        <w:spacing w:after="120"/>
        <w:ind w:left="643"/>
        <w:jc w:val="both"/>
        <w:rPr>
          <w:rFonts w:ascii="Century Gothic" w:eastAsia="Times" w:hAnsi="Century Gothic"/>
          <w:noProof/>
          <w:sz w:val="18"/>
          <w:szCs w:val="18"/>
        </w:rPr>
      </w:pPr>
    </w:p>
    <w:p w:rsidR="00765770" w:rsidRPr="00A72B29" w:rsidRDefault="00765770" w:rsidP="00765770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i/>
          <w:sz w:val="18"/>
          <w:szCs w:val="18"/>
        </w:rPr>
        <w:t>Présentation des travaux, La prévention et le traitement amiable des difficultés des entreprises à la lumière de la réforme</w:t>
      </w:r>
      <w:r w:rsidRPr="00A72B29">
        <w:rPr>
          <w:rFonts w:ascii="Century Gothic" w:hAnsi="Century Gothic"/>
          <w:sz w:val="18"/>
          <w:szCs w:val="18"/>
        </w:rPr>
        <w:t>, Rev. Proc. Coll. 2014/1, p. 70</w:t>
      </w:r>
    </w:p>
    <w:p w:rsidR="00765770" w:rsidRPr="00A72B29" w:rsidRDefault="00765770" w:rsidP="00765770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</w:p>
    <w:p w:rsidR="00765770" w:rsidRPr="00A72B29" w:rsidRDefault="00765770" w:rsidP="00765770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  <w:szCs w:val="18"/>
        </w:rPr>
        <w:t xml:space="preserve">MACORIG-VENIER (Francine), </w:t>
      </w:r>
      <w:r w:rsidRPr="00A72B29">
        <w:rPr>
          <w:rFonts w:ascii="Century Gothic" w:hAnsi="Century Gothic"/>
          <w:i/>
          <w:sz w:val="18"/>
          <w:szCs w:val="18"/>
        </w:rPr>
        <w:t>Les mesures juridiques favorables aux accords de conciliation</w:t>
      </w:r>
      <w:r w:rsidRPr="00A72B29">
        <w:rPr>
          <w:rFonts w:ascii="Century Gothic" w:hAnsi="Century Gothic"/>
          <w:sz w:val="18"/>
          <w:szCs w:val="18"/>
        </w:rPr>
        <w:t>, Rev. Proc. Coll. 2014/1, p. 93</w:t>
      </w:r>
    </w:p>
    <w:p w:rsidR="00765770" w:rsidRPr="00A72B29" w:rsidRDefault="00765770" w:rsidP="00765770">
      <w:pPr>
        <w:pStyle w:val="Paragraphedeliste"/>
        <w:spacing w:after="120"/>
        <w:rPr>
          <w:rFonts w:ascii="Century Gothic" w:eastAsia="Times" w:hAnsi="Century Gothic"/>
          <w:noProof/>
          <w:sz w:val="18"/>
          <w:szCs w:val="18"/>
        </w:rPr>
      </w:pPr>
    </w:p>
    <w:p w:rsidR="00765770" w:rsidRPr="00A72B29" w:rsidRDefault="00765770" w:rsidP="00765770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i/>
          <w:sz w:val="18"/>
          <w:szCs w:val="18"/>
        </w:rPr>
        <w:t>Le rétablissement professionnel</w:t>
      </w:r>
      <w:r w:rsidRPr="00A72B29">
        <w:rPr>
          <w:rFonts w:ascii="Century Gothic" w:hAnsi="Century Gothic"/>
          <w:sz w:val="18"/>
          <w:szCs w:val="18"/>
        </w:rPr>
        <w:t>, Dr. et P. juill. 2014, p. 52</w:t>
      </w:r>
    </w:p>
    <w:p w:rsidR="00765770" w:rsidRPr="00A72B29" w:rsidRDefault="00765770" w:rsidP="00765770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</w:p>
    <w:p w:rsidR="00765770" w:rsidRPr="00A72B29" w:rsidRDefault="00765770" w:rsidP="00765770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i/>
          <w:sz w:val="18"/>
          <w:szCs w:val="18"/>
        </w:rPr>
        <w:t xml:space="preserve">Les améliorations des procédures liquidatives et des cessions, </w:t>
      </w:r>
      <w:r w:rsidRPr="00A72B29">
        <w:rPr>
          <w:rFonts w:ascii="Century Gothic" w:hAnsi="Century Gothic"/>
          <w:sz w:val="18"/>
          <w:szCs w:val="18"/>
        </w:rPr>
        <w:t>Article</w:t>
      </w:r>
      <w:r w:rsidRPr="00A72B29">
        <w:rPr>
          <w:rFonts w:ascii="Century Gothic" w:hAnsi="Century Gothic"/>
          <w:i/>
          <w:sz w:val="18"/>
          <w:szCs w:val="18"/>
        </w:rPr>
        <w:t xml:space="preserve"> </w:t>
      </w:r>
      <w:r w:rsidRPr="00A72B29">
        <w:rPr>
          <w:rFonts w:ascii="Century Gothic" w:hAnsi="Century Gothic"/>
          <w:sz w:val="18"/>
          <w:szCs w:val="18"/>
        </w:rPr>
        <w:t>co-écrit avec J. Vallansan, Rev. Proc. Coll 2014, p. 58</w:t>
      </w:r>
    </w:p>
    <w:p w:rsidR="00765770" w:rsidRPr="00A72B29" w:rsidRDefault="00765770" w:rsidP="00765770">
      <w:pPr>
        <w:numPr>
          <w:ilvl w:val="0"/>
          <w:numId w:val="1"/>
        </w:numPr>
        <w:spacing w:before="12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sz w:val="18"/>
          <w:szCs w:val="18"/>
        </w:rPr>
        <w:t>La réforme de la prévention par l'ordonnance n° 2014-326 du 12 mars 2014, R.T.D. Com. 2014, p. 395.</w:t>
      </w:r>
    </w:p>
    <w:p w:rsidR="00765770" w:rsidRPr="00A72B29" w:rsidRDefault="00765770" w:rsidP="00765770">
      <w:pPr>
        <w:numPr>
          <w:ilvl w:val="0"/>
          <w:numId w:val="1"/>
        </w:numPr>
        <w:spacing w:before="12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i/>
          <w:sz w:val="18"/>
          <w:szCs w:val="18"/>
        </w:rPr>
        <w:t>La réforme de la prévention : suite</w:t>
      </w:r>
      <w:r w:rsidRPr="00A72B29">
        <w:rPr>
          <w:rFonts w:ascii="Century Gothic" w:hAnsi="Century Gothic"/>
          <w:sz w:val="18"/>
          <w:szCs w:val="18"/>
        </w:rPr>
        <w:t>, Décret numéro 2014-736 du 30 juin 2014, pris pour l'application de l'ordonnance numéro 2014-326 du 12 mars 2014 portant réforme de la prévention des difficultés des entreprises et des procédures collectives, RTD Com. 2014, p. 855.</w:t>
      </w:r>
    </w:p>
    <w:p w:rsidR="00765770" w:rsidRPr="00A72B29" w:rsidRDefault="00765770" w:rsidP="00765770">
      <w:pPr>
        <w:numPr>
          <w:ilvl w:val="0"/>
          <w:numId w:val="1"/>
        </w:numPr>
        <w:spacing w:before="12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i/>
          <w:sz w:val="18"/>
          <w:szCs w:val="18"/>
        </w:rPr>
        <w:t>Eclairage, La prévention et le traitement amiable des difficultés des entreprises : entre transparence et confidentialité, efficacité et fragilité</w:t>
      </w:r>
      <w:r w:rsidRPr="00A72B29">
        <w:rPr>
          <w:rFonts w:ascii="Century Gothic" w:hAnsi="Century Gothic"/>
          <w:sz w:val="18"/>
          <w:szCs w:val="18"/>
        </w:rPr>
        <w:t xml:space="preserve">, co-écrit avec Mme Corinne Saint-Alary Houin, « Compte-rendu » du colloque de l’AJDE du 15 nov. 2013, Toulouse, </w:t>
      </w:r>
      <w:r w:rsidRPr="00A72B29">
        <w:rPr>
          <w:rFonts w:ascii="Century Gothic" w:hAnsi="Century Gothic"/>
          <w:i/>
          <w:sz w:val="18"/>
          <w:szCs w:val="18"/>
        </w:rPr>
        <w:t>Bulletin Joly Entreprises en Difficulté, janv. 2014 n° 1, P. 10.</w:t>
      </w:r>
    </w:p>
    <w:p w:rsidR="00765770" w:rsidRPr="00A72B29" w:rsidRDefault="00765770" w:rsidP="00765770">
      <w:pPr>
        <w:numPr>
          <w:ilvl w:val="0"/>
          <w:numId w:val="1"/>
        </w:numPr>
        <w:spacing w:before="12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Chronique de droit du surendettement, </w:t>
      </w:r>
      <w:r w:rsidRPr="00A72B29">
        <w:rPr>
          <w:rFonts w:ascii="Century Gothic" w:hAnsi="Century Gothic"/>
          <w:sz w:val="18"/>
          <w:szCs w:val="18"/>
        </w:rPr>
        <w:t>Modifications législatives ou réglementaires (L. 26 juill.2013 ; L. 17 mars 2014 ; L. 24 mars 2014) : accélération des procédures et du traitement de la situation des débiteurs ; mesures tendant à favoriser le maintien du débiteur dans son logement ; mesures tendant à différer le paiement des dettes du débiteur ou à en alléger le poids ; mesures d’accompagnement social ou budgétaire, Rev. Droit et patrimoine, sept. 2014, p. 111.</w:t>
      </w:r>
    </w:p>
    <w:p w:rsidR="00765770" w:rsidRPr="00A72B29" w:rsidRDefault="00765770" w:rsidP="00765770">
      <w:pPr>
        <w:spacing w:before="120"/>
        <w:ind w:left="720"/>
        <w:jc w:val="both"/>
        <w:rPr>
          <w:rFonts w:ascii="Century Gothic" w:hAnsi="Century Gothic"/>
          <w:sz w:val="18"/>
          <w:szCs w:val="18"/>
        </w:rPr>
      </w:pPr>
    </w:p>
    <w:p w:rsidR="00765770" w:rsidRPr="00A72B29" w:rsidRDefault="00765770" w:rsidP="00765770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  <w:szCs w:val="18"/>
        </w:rPr>
        <w:t>MACORIG-VENIER (Francine), Le rétablissement professionnel,</w:t>
      </w:r>
      <w:r w:rsidRPr="00A72B29">
        <w:rPr>
          <w:rFonts w:ascii="Century Gothic" w:hAnsi="Century Gothic"/>
          <w:sz w:val="18"/>
          <w:szCs w:val="18"/>
        </w:rPr>
        <w:t xml:space="preserve"> Revue Droit et Patrimoine juill-août 2014, n° 238 p. 40.</w:t>
      </w:r>
    </w:p>
    <w:p w:rsidR="00765770" w:rsidRPr="00A72B29" w:rsidRDefault="00765770" w:rsidP="00765770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765770" w:rsidRPr="00A72B29" w:rsidRDefault="00765770" w:rsidP="00765770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i/>
          <w:sz w:val="18"/>
          <w:szCs w:val="18"/>
        </w:rPr>
        <w:t>Les créanciers et leurs garanties dans la reprise d’entreprises en difficulté</w:t>
      </w:r>
      <w:r w:rsidRPr="00A72B29">
        <w:rPr>
          <w:rFonts w:ascii="Century Gothic" w:hAnsi="Century Gothic"/>
          <w:sz w:val="18"/>
          <w:szCs w:val="18"/>
        </w:rPr>
        <w:t>, In La reprise d’entreprises en difficultés, Rev. Proc. Coll.2015/6, p. 53.</w:t>
      </w:r>
    </w:p>
    <w:p w:rsidR="00765770" w:rsidRPr="00A72B29" w:rsidRDefault="00765770" w:rsidP="00765770">
      <w:pPr>
        <w:numPr>
          <w:ilvl w:val="0"/>
          <w:numId w:val="1"/>
        </w:numPr>
        <w:spacing w:before="12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i/>
          <w:sz w:val="18"/>
          <w:szCs w:val="18"/>
        </w:rPr>
        <w:t>Une nouvelle circulaire concernant les CODEFI et le CIRI (Circulaire du 9 janvier 2015 relative aux modalités d’accueil et de traitement des dossiers d’entreprises confrontées à des problèmes de financement)</w:t>
      </w:r>
      <w:r w:rsidRPr="00A72B29">
        <w:rPr>
          <w:rFonts w:ascii="Century Gothic" w:hAnsi="Century Gothic"/>
          <w:sz w:val="18"/>
          <w:szCs w:val="18"/>
        </w:rPr>
        <w:t>, R.T. D. Com. 2015, n° 2, p. 357.</w:t>
      </w:r>
    </w:p>
    <w:p w:rsidR="00765770" w:rsidRPr="00A72B29" w:rsidRDefault="00765770" w:rsidP="00765770">
      <w:pPr>
        <w:numPr>
          <w:ilvl w:val="0"/>
          <w:numId w:val="1"/>
        </w:numPr>
        <w:spacing w:before="12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i/>
          <w:sz w:val="18"/>
          <w:szCs w:val="18"/>
        </w:rPr>
        <w:t>L’alerte du commissaire aux comptes dans les comités d’entreprise : la loi a été complétée par des décrets (D. du 27mars 2015),</w:t>
      </w:r>
      <w:r w:rsidRPr="00A72B29">
        <w:rPr>
          <w:rFonts w:ascii="Century Gothic" w:hAnsi="Century Gothic"/>
          <w:sz w:val="18"/>
          <w:szCs w:val="18"/>
        </w:rPr>
        <w:t xml:space="preserve"> R.T. D. Com. 2015, n° 2, </w:t>
      </w:r>
      <w:r w:rsidRPr="00A72B29">
        <w:rPr>
          <w:rFonts w:ascii="Century Gothic" w:hAnsi="Century Gothic"/>
          <w:i/>
          <w:sz w:val="18"/>
          <w:szCs w:val="18"/>
        </w:rPr>
        <w:t>p.</w:t>
      </w:r>
      <w:r w:rsidRPr="00A72B29">
        <w:rPr>
          <w:rFonts w:ascii="Century Gothic" w:hAnsi="Century Gothic"/>
          <w:sz w:val="18"/>
          <w:szCs w:val="18"/>
        </w:rPr>
        <w:t xml:space="preserve"> 360</w:t>
      </w:r>
    </w:p>
    <w:p w:rsidR="00765770" w:rsidRPr="00A72B29" w:rsidRDefault="00765770" w:rsidP="00765770">
      <w:pPr>
        <w:numPr>
          <w:ilvl w:val="0"/>
          <w:numId w:val="1"/>
        </w:numPr>
        <w:spacing w:before="120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i/>
          <w:sz w:val="18"/>
          <w:szCs w:val="18"/>
        </w:rPr>
        <w:t>L’alerte du président du TGI dans les comités d’entreprise (Loi n° 2014-288 du 5 mars 2014)</w:t>
      </w:r>
      <w:r w:rsidRPr="00A72B29">
        <w:rPr>
          <w:rFonts w:ascii="Century Gothic" w:hAnsi="Century Gothic"/>
          <w:sz w:val="18"/>
          <w:szCs w:val="18"/>
        </w:rPr>
        <w:t>, R.T. D. Com. 2015, n° 2, p. 363</w:t>
      </w:r>
    </w:p>
    <w:p w:rsidR="00765770" w:rsidRPr="00A72B29" w:rsidRDefault="00765770" w:rsidP="00765770">
      <w:pPr>
        <w:numPr>
          <w:ilvl w:val="0"/>
          <w:numId w:val="1"/>
        </w:numPr>
        <w:spacing w:before="12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>MACORIG-VENIER (Francine),</w:t>
      </w:r>
      <w:r w:rsidRPr="00A72B29">
        <w:rPr>
          <w:i/>
        </w:rPr>
        <w:t xml:space="preserve"> </w:t>
      </w:r>
      <w:r w:rsidRPr="00A72B29">
        <w:rPr>
          <w:rFonts w:ascii="Century Gothic" w:hAnsi="Century Gothic"/>
          <w:i/>
          <w:sz w:val="18"/>
          <w:szCs w:val="18"/>
        </w:rPr>
        <w:t xml:space="preserve">Portée de l’obligation de confidentialité prescrite par l’article L. 611-15 du code de commerce en matière de mandat ad hoc et de conciliation, </w:t>
      </w:r>
      <w:r w:rsidRPr="00A72B29">
        <w:rPr>
          <w:rFonts w:ascii="Century Gothic" w:hAnsi="Century Gothic"/>
          <w:sz w:val="18"/>
          <w:szCs w:val="18"/>
        </w:rPr>
        <w:t>R.T. D. Com. 2015, n° 2, p. 363</w:t>
      </w:r>
    </w:p>
    <w:p w:rsidR="00765770" w:rsidRPr="00A72B29" w:rsidRDefault="00765770" w:rsidP="00765770">
      <w:pPr>
        <w:numPr>
          <w:ilvl w:val="0"/>
          <w:numId w:val="1"/>
        </w:numPr>
        <w:spacing w:before="12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i/>
          <w:sz w:val="18"/>
          <w:szCs w:val="18"/>
        </w:rPr>
        <w:t xml:space="preserve">Incidence de la refonte de la partie législative du Code de la consommation sur le droit du surendettement, </w:t>
      </w:r>
      <w:r w:rsidRPr="00A72B29">
        <w:rPr>
          <w:rFonts w:ascii="Century Gothic" w:hAnsi="Century Gothic"/>
          <w:sz w:val="18"/>
          <w:szCs w:val="18"/>
        </w:rPr>
        <w:t>Ordonnance du 14 mars 2016, revue Droit et Patrimoine 2016, n° 260, p. 91</w:t>
      </w:r>
    </w:p>
    <w:p w:rsidR="00765770" w:rsidRPr="00A72B29" w:rsidRDefault="00765770" w:rsidP="00765770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</w:rPr>
      </w:pPr>
    </w:p>
    <w:p w:rsidR="00765770" w:rsidRPr="00A72B29" w:rsidRDefault="00765770" w:rsidP="00765770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i/>
          <w:sz w:val="18"/>
          <w:szCs w:val="18"/>
        </w:rPr>
        <w:t>Les alternatives à la cession, L’attribution en propriété</w:t>
      </w:r>
      <w:r w:rsidRPr="00A72B29">
        <w:rPr>
          <w:rFonts w:ascii="Century Gothic" w:hAnsi="Century Gothic"/>
          <w:sz w:val="18"/>
          <w:szCs w:val="18"/>
        </w:rPr>
        <w:t>, Rev. Proc. Coll. 2015/2, Dossier 30, p. 71.</w:t>
      </w:r>
    </w:p>
    <w:p w:rsidR="00765770" w:rsidRPr="00A72B29" w:rsidRDefault="00765770" w:rsidP="00765770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765770" w:rsidRPr="00A72B29" w:rsidRDefault="00765770" w:rsidP="00765770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i/>
          <w:sz w:val="18"/>
          <w:szCs w:val="18"/>
        </w:rPr>
        <w:t xml:space="preserve">La règle de l’arrêt des poursuites chahutée par les évolutions législatives, </w:t>
      </w:r>
      <w:r w:rsidRPr="00A72B29">
        <w:rPr>
          <w:rFonts w:ascii="Century Gothic" w:hAnsi="Century Gothic"/>
          <w:sz w:val="18"/>
          <w:szCs w:val="18"/>
        </w:rPr>
        <w:t>in Dossier Trente ans de réformes, Rev. Proc. Coll. 2016/1, Article 1, p. 61.</w:t>
      </w:r>
    </w:p>
    <w:p w:rsidR="00765770" w:rsidRPr="00A72B29" w:rsidRDefault="00765770" w:rsidP="00765770">
      <w:pPr>
        <w:numPr>
          <w:ilvl w:val="0"/>
          <w:numId w:val="1"/>
        </w:numPr>
        <w:spacing w:before="12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lastRenderedPageBreak/>
        <w:t xml:space="preserve">MACORIG-VENIER (Francine), </w:t>
      </w:r>
      <w:r w:rsidRPr="00A72B29">
        <w:rPr>
          <w:rFonts w:ascii="Century Gothic" w:hAnsi="Century Gothic"/>
          <w:i/>
          <w:sz w:val="18"/>
          <w:szCs w:val="18"/>
        </w:rPr>
        <w:t>Incidence de la loi Macron en matière de traitement amiable des difficultés des entreprises sur la compétence</w:t>
      </w:r>
      <w:r w:rsidRPr="00A72B29">
        <w:rPr>
          <w:rFonts w:ascii="Century Gothic" w:hAnsi="Century Gothic"/>
          <w:sz w:val="18"/>
          <w:szCs w:val="18"/>
        </w:rPr>
        <w:t> (Loi 2015-990 du 6 août 2015 pour la croissance, l'activité et l'égalité des chances économiques), R.T. D. Com. 2016, n° 1, p. 192</w:t>
      </w:r>
    </w:p>
    <w:p w:rsidR="00765770" w:rsidRPr="00A72B29" w:rsidRDefault="00765770" w:rsidP="00765770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765770" w:rsidRPr="00A72B29" w:rsidRDefault="00765770" w:rsidP="00765770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i/>
          <w:sz w:val="18"/>
          <w:szCs w:val="18"/>
        </w:rPr>
        <w:t>Les créances garanties</w:t>
      </w:r>
      <w:r w:rsidRPr="00A72B29">
        <w:rPr>
          <w:rFonts w:ascii="Century Gothic" w:hAnsi="Century Gothic"/>
          <w:sz w:val="18"/>
          <w:szCs w:val="18"/>
        </w:rPr>
        <w:t>, rédigé avec C. Caviglioli, in Le traitement des créances : pratique et actualités, Bull. Joly Entreprises en difficulté 2017/1, p. 63</w:t>
      </w:r>
    </w:p>
    <w:p w:rsidR="00765770" w:rsidRPr="00A72B29" w:rsidRDefault="00765770" w:rsidP="00765770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</w:rPr>
      </w:pPr>
    </w:p>
    <w:p w:rsidR="00765770" w:rsidRPr="00A72B29" w:rsidRDefault="00765770" w:rsidP="00765770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i/>
          <w:sz w:val="18"/>
          <w:szCs w:val="18"/>
        </w:rPr>
        <w:t>Présentation des travaux, Propriété et procédures collectives, Colloque Toulouse Rev. Proc. Coll. 2017/6, Dossier 13, p. 68</w:t>
      </w:r>
    </w:p>
    <w:p w:rsidR="00765770" w:rsidRPr="00A72B29" w:rsidRDefault="00765770" w:rsidP="00765770">
      <w:pPr>
        <w:pStyle w:val="Paragraphedeliste"/>
        <w:rPr>
          <w:rFonts w:ascii="Century Gothic" w:eastAsia="Times" w:hAnsi="Century Gothic"/>
          <w:noProof/>
          <w:sz w:val="18"/>
        </w:rPr>
      </w:pPr>
    </w:p>
    <w:p w:rsidR="00765770" w:rsidRPr="00A72B29" w:rsidRDefault="00765770" w:rsidP="00765770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i/>
          <w:sz w:val="18"/>
          <w:szCs w:val="18"/>
        </w:rPr>
        <w:t>Les sources du droit des entreprises en difficulté</w:t>
      </w:r>
      <w:r w:rsidRPr="00A72B29">
        <w:rPr>
          <w:rFonts w:ascii="Century Gothic" w:hAnsi="Century Gothic"/>
          <w:sz w:val="18"/>
          <w:szCs w:val="18"/>
        </w:rPr>
        <w:t>, in Le droit des entreprises en difficulté après 30 ans, Ouvrage IFR-LGDJ, p. 11.</w:t>
      </w:r>
    </w:p>
    <w:p w:rsidR="00765770" w:rsidRPr="00A72B29" w:rsidRDefault="00765770" w:rsidP="00765770">
      <w:pPr>
        <w:pStyle w:val="Paragraphedeliste"/>
        <w:spacing w:after="120"/>
        <w:jc w:val="both"/>
        <w:rPr>
          <w:rFonts w:ascii="Century Gothic" w:eastAsia="Times" w:hAnsi="Century Gothic"/>
          <w:noProof/>
          <w:sz w:val="18"/>
        </w:rPr>
      </w:pPr>
    </w:p>
    <w:p w:rsidR="00765770" w:rsidRPr="00A72B29" w:rsidRDefault="00765770" w:rsidP="00765770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sz w:val="18"/>
          <w:szCs w:val="18"/>
        </w:rPr>
        <w:t>Questions d’actualité sur le transfert de propriété des biens du débiteur</w:t>
      </w:r>
      <w:r w:rsidRPr="00A72B29">
        <w:rPr>
          <w:rFonts w:ascii="Century Gothic" w:hAnsi="Century Gothic"/>
          <w:i/>
          <w:sz w:val="18"/>
          <w:szCs w:val="18"/>
        </w:rPr>
        <w:t xml:space="preserve"> Colloque Toulouse Rev. Proc. Coll. 2017/6, Dossier 23, p. 101</w:t>
      </w:r>
      <w:r w:rsidRPr="00A72B29">
        <w:rPr>
          <w:rFonts w:ascii="Century Gothic" w:hAnsi="Century Gothic"/>
          <w:sz w:val="18"/>
          <w:szCs w:val="18"/>
        </w:rPr>
        <w:t>.</w:t>
      </w:r>
    </w:p>
    <w:p w:rsidR="00765770" w:rsidRPr="00A72B29" w:rsidRDefault="00765770" w:rsidP="00765770">
      <w:pPr>
        <w:numPr>
          <w:ilvl w:val="0"/>
          <w:numId w:val="1"/>
        </w:numPr>
        <w:spacing w:before="12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>MACORIG-VENIER (Francine),</w:t>
      </w:r>
      <w:r w:rsidRPr="00A72B29">
        <w:rPr>
          <w:rFonts w:ascii="Century Gothic" w:hAnsi="Century Gothic"/>
          <w:sz w:val="18"/>
          <w:szCs w:val="18"/>
        </w:rPr>
        <w:t xml:space="preserve"> </w:t>
      </w:r>
      <w:r w:rsidRPr="00A72B29">
        <w:rPr>
          <w:rFonts w:ascii="Century Gothic" w:hAnsi="Century Gothic"/>
          <w:i/>
          <w:sz w:val="18"/>
          <w:szCs w:val="18"/>
        </w:rPr>
        <w:t>Loi n°2016-1547 du 18 novembre 2016</w:t>
      </w:r>
      <w:r w:rsidRPr="00A72B29">
        <w:rPr>
          <w:rFonts w:ascii="Century Gothic" w:hAnsi="Century Gothic"/>
          <w:sz w:val="18"/>
          <w:szCs w:val="18"/>
        </w:rPr>
        <w:t xml:space="preserve"> </w:t>
      </w:r>
      <w:r w:rsidRPr="00A72B29">
        <w:rPr>
          <w:rFonts w:ascii="Century Gothic" w:hAnsi="Century Gothic"/>
          <w:i/>
          <w:sz w:val="18"/>
          <w:szCs w:val="18"/>
        </w:rPr>
        <w:t>de modernisation de la justice du XXIème siècle : incidence sur le dispositif de prévention des difficultés des entreprises</w:t>
      </w:r>
      <w:r w:rsidRPr="00A72B29">
        <w:rPr>
          <w:rFonts w:ascii="Century Gothic" w:hAnsi="Century Gothic"/>
          <w:sz w:val="18"/>
          <w:szCs w:val="18"/>
        </w:rPr>
        <w:t>, RTDCom. 2017, n°1, p. 175</w:t>
      </w:r>
    </w:p>
    <w:p w:rsidR="00765770" w:rsidRPr="00A72B29" w:rsidRDefault="00765770" w:rsidP="00765770">
      <w:pPr>
        <w:numPr>
          <w:ilvl w:val="0"/>
          <w:numId w:val="1"/>
        </w:numPr>
        <w:spacing w:before="12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i/>
          <w:sz w:val="18"/>
          <w:szCs w:val="18"/>
        </w:rPr>
        <w:t>Rétablissement professionnel, Conditions d’ouverture</w:t>
      </w:r>
      <w:r w:rsidRPr="00A72B29">
        <w:rPr>
          <w:rFonts w:ascii="Century Gothic" w:hAnsi="Century Gothic"/>
          <w:sz w:val="18"/>
          <w:szCs w:val="18"/>
        </w:rPr>
        <w:t xml:space="preserve"> : modifications apportées par la loi n°2016-1547 du 18 nov. 2016 (Art.99) de modernisation de la justice du XXIème siècle, Revue Droit et patrimoine. 2017, n° 275, p. 61. </w:t>
      </w:r>
    </w:p>
    <w:p w:rsidR="00765770" w:rsidRPr="00A72B29" w:rsidRDefault="00765770" w:rsidP="00765770">
      <w:pPr>
        <w:numPr>
          <w:ilvl w:val="0"/>
          <w:numId w:val="1"/>
        </w:numPr>
        <w:spacing w:before="120"/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i/>
          <w:sz w:val="18"/>
          <w:szCs w:val="18"/>
        </w:rPr>
        <w:t>Lois du 18 novembre 2016 et 9 décembre 2016 : amélioration et accélération du traitement du surendettement</w:t>
      </w:r>
      <w:r w:rsidRPr="00A72B29">
        <w:rPr>
          <w:rFonts w:ascii="Century Gothic" w:hAnsi="Century Gothic"/>
          <w:sz w:val="18"/>
          <w:szCs w:val="18"/>
        </w:rPr>
        <w:t>, Revue Droit et Patrimoine, décembre 2017, n° 275, p. 61 et s.</w:t>
      </w:r>
    </w:p>
    <w:p w:rsidR="00765770" w:rsidRPr="00A72B29" w:rsidRDefault="00765770" w:rsidP="00765770">
      <w:pPr>
        <w:numPr>
          <w:ilvl w:val="0"/>
          <w:numId w:val="1"/>
        </w:numPr>
        <w:spacing w:before="120"/>
        <w:jc w:val="both"/>
        <w:rPr>
          <w:rFonts w:ascii="Century Gothic" w:eastAsiaTheme="minorHAnsi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sz w:val="18"/>
          <w:szCs w:val="18"/>
        </w:rPr>
        <w:t>Co-mandats, mandats post-procédures : nouveaux intervenants, nouveaux coûts ?, Colloque Lille 24 nov. 2017, « Les coûts de faillite : le droit des entreprises en difficulté est-il performant ? », Rev. Proc. Coll. 2018/1, Dossier, n° 5, p. 80.</w:t>
      </w:r>
    </w:p>
    <w:p w:rsidR="00765770" w:rsidRPr="00A72B29" w:rsidRDefault="00765770" w:rsidP="00765770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765770" w:rsidRPr="00A72B29" w:rsidRDefault="00765770" w:rsidP="00765770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MACORIG-VENIER (Francine), </w:t>
      </w:r>
      <w:r w:rsidRPr="00A72B29">
        <w:rPr>
          <w:rFonts w:ascii="Century Gothic" w:hAnsi="Century Gothic"/>
          <w:sz w:val="18"/>
          <w:szCs w:val="18"/>
        </w:rPr>
        <w:t>L’efficacité des clauses d’anticipation, in dossier « - Contrat(s) et entreprises en difficulté - Colloque Toulouse 12 octobre 2018, BJE 2019, n° 116q9, p. 40</w:t>
      </w:r>
    </w:p>
    <w:p w:rsidR="007761D5" w:rsidRPr="00AC40EB" w:rsidRDefault="007761D5" w:rsidP="00AC40EB">
      <w:bookmarkStart w:id="0" w:name="_GoBack"/>
      <w:bookmarkEnd w:id="0"/>
    </w:p>
    <w:sectPr w:rsidR="007761D5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810"/>
    <w:multiLevelType w:val="hybridMultilevel"/>
    <w:tmpl w:val="6DCE1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70"/>
    <w:rsid w:val="00765770"/>
    <w:rsid w:val="007761D5"/>
    <w:rsid w:val="007A24F8"/>
    <w:rsid w:val="00A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2B54C-9376-4EA5-B37E-597B7138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77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5770"/>
    <w:pPr>
      <w:ind w:left="720"/>
      <w:contextualSpacing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851</Words>
  <Characters>4684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SABATHIER</dc:creator>
  <cp:keywords/>
  <dc:description/>
  <cp:lastModifiedBy>SOPHIE SABATHIER</cp:lastModifiedBy>
  <cp:revision>1</cp:revision>
  <dcterms:created xsi:type="dcterms:W3CDTF">2019-08-25T10:23:00Z</dcterms:created>
  <dcterms:modified xsi:type="dcterms:W3CDTF">2019-08-25T10:23:00Z</dcterms:modified>
</cp:coreProperties>
</file>