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AA" w:rsidRDefault="001730AA" w:rsidP="001730AA">
      <w:pPr>
        <w:jc w:val="both"/>
        <w:rPr>
          <w:rFonts w:ascii="Arial" w:eastAsia="Arial Unicode MS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</w:rPr>
        <w:t>Jullian Nadège :</w:t>
      </w:r>
    </w:p>
    <w:p w:rsidR="001730AA" w:rsidRDefault="001730AA" w:rsidP="001730AA">
      <w:pPr>
        <w:jc w:val="both"/>
        <w:rPr>
          <w:rFonts w:ascii="Arial" w:eastAsia="Arial Unicode MS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 </w:t>
      </w:r>
    </w:p>
    <w:p w:rsidR="001730AA" w:rsidRDefault="001730AA" w:rsidP="001730AA">
      <w:pPr>
        <w:numPr>
          <w:ilvl w:val="0"/>
          <w:numId w:val="1"/>
        </w:numPr>
        <w:jc w:val="both"/>
        <w:rPr>
          <w:rFonts w:ascii="Arial" w:eastAsia="Times" w:hAnsi="Arial" w:cs="Arial"/>
          <w:sz w:val="22"/>
          <w:szCs w:val="22"/>
          <w:lang w:eastAsia="en-US"/>
        </w:rPr>
      </w:pPr>
      <w:r>
        <w:rPr>
          <w:rFonts w:ascii="Arial" w:eastAsia="Times" w:hAnsi="Arial" w:cs="Arial"/>
          <w:i/>
          <w:sz w:val="22"/>
        </w:rPr>
        <w:t>Plus-values sur cession de titres : le nu-propriétaire admis à déduire les frais et taxes supportés par l’usufruitier</w:t>
      </w:r>
      <w:r>
        <w:rPr>
          <w:rFonts w:ascii="Arial" w:eastAsia="Times" w:hAnsi="Arial" w:cs="Arial"/>
          <w:sz w:val="22"/>
        </w:rPr>
        <w:t>, Revue fiscale du patrimoine, n° 9, 12, sept. 2017, avec Mortier (Renaud).</w:t>
      </w:r>
    </w:p>
    <w:p w:rsidR="001730AA" w:rsidRDefault="001730AA" w:rsidP="001730AA">
      <w:pPr>
        <w:ind w:firstLine="60"/>
        <w:jc w:val="both"/>
        <w:rPr>
          <w:rFonts w:ascii="Arial" w:eastAsia="Times" w:hAnsi="Arial" w:cs="Arial"/>
          <w:sz w:val="22"/>
          <w:szCs w:val="22"/>
          <w:lang w:eastAsia="en-US"/>
        </w:rPr>
      </w:pPr>
    </w:p>
    <w:p w:rsidR="001730AA" w:rsidRDefault="001730AA" w:rsidP="001730AA">
      <w:pPr>
        <w:numPr>
          <w:ilvl w:val="0"/>
          <w:numId w:val="1"/>
        </w:numPr>
        <w:jc w:val="both"/>
        <w:rPr>
          <w:rFonts w:ascii="Arial" w:eastAsia="Times" w:hAnsi="Arial" w:cs="Arial"/>
          <w:sz w:val="22"/>
          <w:lang w:eastAsia="en-US"/>
        </w:rPr>
      </w:pPr>
      <w:r>
        <w:rPr>
          <w:rFonts w:ascii="Arial" w:eastAsia="Times" w:hAnsi="Arial" w:cs="Arial"/>
          <w:i/>
          <w:sz w:val="22"/>
        </w:rPr>
        <w:t>L’action du liquidateur judiciaire contre les associés en nom en contribution aux pertes sociales</w:t>
      </w:r>
      <w:r>
        <w:rPr>
          <w:rFonts w:ascii="Arial" w:eastAsia="Times" w:hAnsi="Arial" w:cs="Arial"/>
          <w:sz w:val="22"/>
        </w:rPr>
        <w:t xml:space="preserve">, </w:t>
      </w:r>
      <w:r>
        <w:rPr>
          <w:rFonts w:ascii="Arial" w:eastAsia="Times" w:hAnsi="Arial" w:cs="Arial"/>
          <w:i/>
          <w:sz w:val="22"/>
        </w:rPr>
        <w:t xml:space="preserve">Petites affiches, </w:t>
      </w:r>
      <w:r>
        <w:rPr>
          <w:rFonts w:ascii="Arial" w:eastAsia="Times" w:hAnsi="Arial" w:cs="Arial"/>
          <w:sz w:val="22"/>
        </w:rPr>
        <w:t xml:space="preserve">25 janv. 2017, n° 18, p. 15. </w:t>
      </w:r>
    </w:p>
    <w:p w:rsidR="001730AA" w:rsidRDefault="001730AA" w:rsidP="001730AA">
      <w:pPr>
        <w:jc w:val="both"/>
        <w:rPr>
          <w:rFonts w:ascii="Arial" w:eastAsia="Times" w:hAnsi="Arial" w:cs="Arial"/>
          <w:sz w:val="22"/>
        </w:rPr>
      </w:pPr>
    </w:p>
    <w:p w:rsidR="001730AA" w:rsidRDefault="001730AA" w:rsidP="001730AA">
      <w:pPr>
        <w:numPr>
          <w:ilvl w:val="0"/>
          <w:numId w:val="1"/>
        </w:numPr>
        <w:jc w:val="both"/>
        <w:rPr>
          <w:rFonts w:ascii="Arial" w:eastAsia="Times" w:hAnsi="Arial" w:cs="Arial"/>
          <w:sz w:val="22"/>
          <w:lang w:eastAsia="en-US"/>
        </w:rPr>
      </w:pPr>
      <w:r>
        <w:rPr>
          <w:rFonts w:ascii="Arial" w:eastAsia="Times" w:hAnsi="Arial" w:cs="Arial"/>
          <w:i/>
          <w:sz w:val="22"/>
        </w:rPr>
        <w:t>La conformité à l’intérêt social de la sûreté accordée par une société civile</w:t>
      </w:r>
      <w:r>
        <w:rPr>
          <w:rFonts w:ascii="Arial" w:eastAsia="Times" w:hAnsi="Arial" w:cs="Arial"/>
          <w:sz w:val="22"/>
        </w:rPr>
        <w:t xml:space="preserve">, </w:t>
      </w:r>
      <w:r>
        <w:rPr>
          <w:rFonts w:ascii="Arial" w:eastAsia="Times" w:hAnsi="Arial" w:cs="Arial"/>
          <w:i/>
          <w:sz w:val="22"/>
        </w:rPr>
        <w:t>JCP E</w:t>
      </w:r>
      <w:r>
        <w:rPr>
          <w:rFonts w:ascii="Arial" w:eastAsia="Times" w:hAnsi="Arial" w:cs="Arial"/>
          <w:sz w:val="22"/>
        </w:rPr>
        <w:t xml:space="preserve">, 2 mars 2017, n°9, 1111. </w:t>
      </w:r>
    </w:p>
    <w:p w:rsidR="001730AA" w:rsidRDefault="001730AA" w:rsidP="001730AA">
      <w:pPr>
        <w:jc w:val="both"/>
        <w:rPr>
          <w:rFonts w:ascii="Arial" w:eastAsia="Times" w:hAnsi="Arial" w:cs="Arial"/>
          <w:sz w:val="22"/>
        </w:rPr>
      </w:pPr>
    </w:p>
    <w:p w:rsidR="001730AA" w:rsidRDefault="001730AA" w:rsidP="001730AA">
      <w:pPr>
        <w:numPr>
          <w:ilvl w:val="0"/>
          <w:numId w:val="1"/>
        </w:numPr>
        <w:jc w:val="both"/>
        <w:rPr>
          <w:rFonts w:ascii="Arial" w:eastAsia="Times" w:hAnsi="Arial" w:cs="Arial"/>
          <w:sz w:val="22"/>
          <w:szCs w:val="22"/>
          <w:lang w:eastAsia="en-US"/>
        </w:rPr>
      </w:pPr>
      <w:r>
        <w:rPr>
          <w:rFonts w:ascii="Arial" w:eastAsia="Times" w:hAnsi="Arial" w:cs="Arial"/>
          <w:i/>
          <w:iCs/>
          <w:sz w:val="22"/>
        </w:rPr>
        <w:t>Le sort de la garantie de passif en cas de revente des droits sociaux par l’acquéreur,</w:t>
      </w:r>
      <w:r>
        <w:rPr>
          <w:rFonts w:ascii="Arial" w:eastAsia="Times" w:hAnsi="Arial" w:cs="Arial"/>
          <w:sz w:val="22"/>
        </w:rPr>
        <w:t xml:space="preserve"> Rev. Droit des sociétés, Études n° 15, n° 11, 2018.</w:t>
      </w:r>
    </w:p>
    <w:p w:rsidR="001730AA" w:rsidRDefault="001730AA" w:rsidP="001730AA">
      <w:pPr>
        <w:jc w:val="both"/>
        <w:rPr>
          <w:rFonts w:ascii="Arial" w:eastAsia="Times" w:hAnsi="Arial" w:cs="Arial"/>
          <w:sz w:val="22"/>
        </w:rPr>
      </w:pPr>
    </w:p>
    <w:p w:rsidR="001730AA" w:rsidRDefault="001730AA" w:rsidP="001730AA">
      <w:pPr>
        <w:numPr>
          <w:ilvl w:val="0"/>
          <w:numId w:val="1"/>
        </w:numPr>
        <w:jc w:val="both"/>
        <w:rPr>
          <w:rFonts w:ascii="Arial" w:eastAsia="Times" w:hAnsi="Arial" w:cs="Arial"/>
          <w:i/>
          <w:sz w:val="22"/>
          <w:lang w:eastAsia="en-US"/>
        </w:rPr>
      </w:pPr>
      <w:r>
        <w:rPr>
          <w:rFonts w:ascii="Arial" w:eastAsia="Times" w:hAnsi="Arial" w:cs="Arial"/>
          <w:i/>
          <w:sz w:val="22"/>
        </w:rPr>
        <w:t>La cession de patrimoine, Nouvelle bibliothèque des thèses, vol.174, Dalloz, 2018.</w:t>
      </w:r>
    </w:p>
    <w:p w:rsidR="001730AA" w:rsidRDefault="001730AA" w:rsidP="001730AA">
      <w:pPr>
        <w:jc w:val="both"/>
        <w:rPr>
          <w:rFonts w:ascii="Arial" w:eastAsia="Times" w:hAnsi="Arial" w:cs="Arial"/>
          <w:i/>
          <w:sz w:val="22"/>
        </w:rPr>
      </w:pPr>
      <w:r>
        <w:rPr>
          <w:rFonts w:ascii="Arial" w:eastAsia="Times" w:hAnsi="Arial" w:cs="Arial"/>
          <w:i/>
          <w:sz w:val="22"/>
        </w:rPr>
        <w:t> </w:t>
      </w: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2EEC"/>
    <w:multiLevelType w:val="hybridMultilevel"/>
    <w:tmpl w:val="8592C7BA"/>
    <w:lvl w:ilvl="0" w:tplc="F90A99C2">
      <w:start w:val="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AA"/>
    <w:rsid w:val="001730AA"/>
    <w:rsid w:val="002239BF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AA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AA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2019-09-29T18:39:00Z</dcterms:created>
  <dcterms:modified xsi:type="dcterms:W3CDTF">2019-09-29T18:39:00Z</dcterms:modified>
</cp:coreProperties>
</file>