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C9" w:rsidRPr="00665950" w:rsidRDefault="00782FC9" w:rsidP="00782FC9">
      <w:pPr>
        <w:pStyle w:val="Paragraphedeliste"/>
        <w:numPr>
          <w:ilvl w:val="0"/>
          <w:numId w:val="1"/>
        </w:numPr>
        <w:rPr>
          <w:rFonts w:ascii="Century Gothic" w:eastAsia="Times" w:hAnsi="Century Gothic"/>
          <w:noProof/>
          <w:sz w:val="18"/>
          <w:szCs w:val="18"/>
        </w:rPr>
      </w:pPr>
      <w:r w:rsidRPr="00665950">
        <w:rPr>
          <w:rFonts w:ascii="Century Gothic" w:eastAsia="Times" w:hAnsi="Century Gothic"/>
          <w:noProof/>
          <w:sz w:val="18"/>
          <w:szCs w:val="18"/>
        </w:rPr>
        <w:t xml:space="preserve">DEDEURWAEDER (Gilles), </w:t>
      </w:r>
      <w:r w:rsidRPr="00665950">
        <w:rPr>
          <w:rFonts w:ascii="Century Gothic" w:hAnsi="Century Gothic"/>
          <w:sz w:val="18"/>
          <w:szCs w:val="18"/>
        </w:rPr>
        <w:t xml:space="preserve">Les mesures fiscales en faveur de la conciliation : inventaire et bilan » : </w:t>
      </w:r>
      <w:r w:rsidRPr="00665950">
        <w:rPr>
          <w:rFonts w:ascii="Century Gothic" w:hAnsi="Century Gothic"/>
          <w:i/>
          <w:sz w:val="18"/>
          <w:szCs w:val="18"/>
        </w:rPr>
        <w:t>Revue des procédures collectives</w:t>
      </w:r>
      <w:r w:rsidRPr="00665950">
        <w:rPr>
          <w:rFonts w:ascii="Century Gothic" w:hAnsi="Century Gothic"/>
          <w:sz w:val="18"/>
          <w:szCs w:val="18"/>
        </w:rPr>
        <w:t xml:space="preserve"> 1/2014, dossier 9, p. 99</w:t>
      </w:r>
    </w:p>
    <w:p w:rsidR="00782FC9" w:rsidRPr="00A72B29" w:rsidRDefault="00782FC9" w:rsidP="00782FC9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82FC9" w:rsidRPr="00665950" w:rsidRDefault="00782FC9" w:rsidP="00782FC9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665950">
        <w:rPr>
          <w:rFonts w:ascii="Century Gothic" w:eastAsia="Times" w:hAnsi="Century Gothic"/>
          <w:noProof/>
          <w:sz w:val="18"/>
          <w:szCs w:val="18"/>
        </w:rPr>
        <w:t xml:space="preserve">DEDEURWAEDER (Gilles), </w:t>
      </w:r>
      <w:r w:rsidRPr="00665950">
        <w:rPr>
          <w:rFonts w:ascii="Century Gothic" w:hAnsi="Century Gothic"/>
          <w:sz w:val="18"/>
          <w:szCs w:val="18"/>
        </w:rPr>
        <w:t xml:space="preserve">L’ordonnance du 12 mars 2014 et le Trésor public : innovations ou régressions ? » : </w:t>
      </w:r>
      <w:r w:rsidRPr="00665950">
        <w:rPr>
          <w:rFonts w:ascii="Century Gothic" w:hAnsi="Century Gothic"/>
          <w:i/>
          <w:sz w:val="18"/>
          <w:szCs w:val="18"/>
        </w:rPr>
        <w:t xml:space="preserve">Bulletin Joly Entreprises en difficulté </w:t>
      </w:r>
      <w:r w:rsidRPr="00665950">
        <w:rPr>
          <w:rFonts w:ascii="Century Gothic" w:hAnsi="Century Gothic"/>
          <w:sz w:val="18"/>
          <w:szCs w:val="18"/>
        </w:rPr>
        <w:t xml:space="preserve">3/2014, </w:t>
      </w:r>
      <w:proofErr w:type="spellStart"/>
      <w:r w:rsidRPr="00665950">
        <w:rPr>
          <w:rFonts w:ascii="Century Gothic" w:hAnsi="Century Gothic"/>
          <w:sz w:val="18"/>
          <w:szCs w:val="18"/>
        </w:rPr>
        <w:t>comm</w:t>
      </w:r>
      <w:proofErr w:type="spellEnd"/>
      <w:r w:rsidRPr="00665950">
        <w:rPr>
          <w:rFonts w:ascii="Century Gothic" w:hAnsi="Century Gothic"/>
          <w:sz w:val="18"/>
          <w:szCs w:val="18"/>
        </w:rPr>
        <w:t>. 111c4, p. 189 à 191.</w:t>
      </w:r>
    </w:p>
    <w:p w:rsidR="00782FC9" w:rsidRPr="00A72B29" w:rsidRDefault="00782FC9" w:rsidP="00782FC9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82FC9" w:rsidRPr="00665950" w:rsidRDefault="00782FC9" w:rsidP="00782FC9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665950">
        <w:rPr>
          <w:rFonts w:ascii="Century Gothic" w:eastAsia="Times" w:hAnsi="Century Gothic"/>
          <w:noProof/>
          <w:sz w:val="18"/>
          <w:szCs w:val="18"/>
        </w:rPr>
        <w:t xml:space="preserve">DEDEURWAEDER (Gilles), </w:t>
      </w:r>
      <w:r w:rsidRPr="00665950">
        <w:rPr>
          <w:rFonts w:ascii="Century Gothic" w:hAnsi="Century Gothic"/>
          <w:sz w:val="18"/>
          <w:szCs w:val="18"/>
        </w:rPr>
        <w:t xml:space="preserve">Les habits neufs du régime fiscal de la reprise d'une entreprise en difficulté » : </w:t>
      </w:r>
      <w:r w:rsidRPr="00665950">
        <w:rPr>
          <w:rFonts w:ascii="Century Gothic" w:hAnsi="Century Gothic"/>
          <w:i/>
          <w:sz w:val="18"/>
          <w:szCs w:val="18"/>
        </w:rPr>
        <w:t>Revue des procédures collectives</w:t>
      </w:r>
      <w:r w:rsidRPr="00665950">
        <w:rPr>
          <w:rFonts w:ascii="Century Gothic" w:hAnsi="Century Gothic"/>
          <w:sz w:val="18"/>
          <w:szCs w:val="18"/>
        </w:rPr>
        <w:t xml:space="preserve"> 6/2015, p. 76 à 79 ; </w:t>
      </w:r>
      <w:r w:rsidRPr="00665950">
        <w:rPr>
          <w:rFonts w:ascii="Century Gothic" w:hAnsi="Century Gothic"/>
          <w:i/>
          <w:sz w:val="18"/>
          <w:szCs w:val="18"/>
        </w:rPr>
        <w:t>Revue de Droit fiscal</w:t>
      </w:r>
      <w:r w:rsidRPr="00665950">
        <w:rPr>
          <w:rFonts w:ascii="Century Gothic" w:hAnsi="Century Gothic"/>
          <w:sz w:val="18"/>
          <w:szCs w:val="18"/>
        </w:rPr>
        <w:t xml:space="preserve"> 2015, n° 49, p. 31.</w:t>
      </w:r>
    </w:p>
    <w:p w:rsidR="00782FC9" w:rsidRPr="00A72B29" w:rsidRDefault="00782FC9" w:rsidP="00782FC9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82FC9" w:rsidRPr="00665950" w:rsidRDefault="00782FC9" w:rsidP="00782FC9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665950">
        <w:rPr>
          <w:rFonts w:ascii="Century Gothic" w:eastAsia="Times" w:hAnsi="Century Gothic"/>
          <w:noProof/>
          <w:sz w:val="18"/>
          <w:szCs w:val="18"/>
        </w:rPr>
        <w:t xml:space="preserve">DEDEURWAEDER (Gilles), </w:t>
      </w:r>
      <w:r w:rsidRPr="00665950">
        <w:rPr>
          <w:rFonts w:ascii="Century Gothic" w:hAnsi="Century Gothic"/>
          <w:sz w:val="18"/>
          <w:szCs w:val="18"/>
        </w:rPr>
        <w:t xml:space="preserve">Le traitement des créances fiscales » : </w:t>
      </w:r>
      <w:r w:rsidRPr="00665950">
        <w:rPr>
          <w:rFonts w:ascii="Century Gothic" w:hAnsi="Century Gothic"/>
          <w:i/>
          <w:sz w:val="18"/>
          <w:szCs w:val="18"/>
        </w:rPr>
        <w:t>Bulletin Joly Entreprises en difficulté</w:t>
      </w:r>
      <w:r w:rsidRPr="00665950">
        <w:rPr>
          <w:rFonts w:ascii="Century Gothic" w:hAnsi="Century Gothic"/>
          <w:sz w:val="18"/>
          <w:szCs w:val="18"/>
        </w:rPr>
        <w:t xml:space="preserve"> janv.-févr. 2017, </w:t>
      </w:r>
      <w:proofErr w:type="spellStart"/>
      <w:r w:rsidRPr="00665950">
        <w:rPr>
          <w:rFonts w:ascii="Century Gothic" w:hAnsi="Century Gothic"/>
          <w:sz w:val="18"/>
          <w:szCs w:val="18"/>
        </w:rPr>
        <w:t>comm</w:t>
      </w:r>
      <w:proofErr w:type="spellEnd"/>
      <w:r w:rsidRPr="00665950">
        <w:rPr>
          <w:rFonts w:ascii="Century Gothic" w:hAnsi="Century Gothic"/>
          <w:sz w:val="18"/>
          <w:szCs w:val="18"/>
        </w:rPr>
        <w:t>. 114b7, p. 57</w:t>
      </w:r>
    </w:p>
    <w:p w:rsidR="00782FC9" w:rsidRPr="00A72B29" w:rsidRDefault="00782FC9" w:rsidP="00782FC9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782FC9" w:rsidRPr="00665950" w:rsidRDefault="00782FC9" w:rsidP="00782FC9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665950">
        <w:rPr>
          <w:rFonts w:ascii="Century Gothic" w:eastAsia="Times" w:hAnsi="Century Gothic"/>
          <w:noProof/>
          <w:sz w:val="18"/>
          <w:szCs w:val="18"/>
        </w:rPr>
        <w:t xml:space="preserve">DEDEURWAEDER (Gilles), </w:t>
      </w:r>
      <w:r w:rsidRPr="00665950">
        <w:rPr>
          <w:rFonts w:ascii="Century Gothic" w:hAnsi="Century Gothic"/>
          <w:sz w:val="18"/>
          <w:szCs w:val="18"/>
        </w:rPr>
        <w:t xml:space="preserve">« Variations sur les rapports entre le droit des entreprises en difficulté et le droit fiscal », </w:t>
      </w:r>
      <w:r w:rsidRPr="00665950">
        <w:rPr>
          <w:rFonts w:ascii="Century Gothic" w:hAnsi="Century Gothic"/>
          <w:i/>
          <w:sz w:val="18"/>
          <w:szCs w:val="18"/>
        </w:rPr>
        <w:t>in</w:t>
      </w:r>
      <w:r w:rsidRPr="00665950">
        <w:rPr>
          <w:rFonts w:ascii="Century Gothic" w:hAnsi="Century Gothic"/>
          <w:sz w:val="18"/>
          <w:szCs w:val="18"/>
        </w:rPr>
        <w:t xml:space="preserve"> F. </w:t>
      </w:r>
      <w:proofErr w:type="spellStart"/>
      <w:r w:rsidRPr="00665950">
        <w:rPr>
          <w:rFonts w:ascii="Century Gothic" w:hAnsi="Century Gothic"/>
          <w:sz w:val="18"/>
          <w:szCs w:val="18"/>
        </w:rPr>
        <w:t>Macorig-Venier</w:t>
      </w:r>
      <w:proofErr w:type="spellEnd"/>
      <w:r w:rsidRPr="00665950">
        <w:rPr>
          <w:rFonts w:ascii="Century Gothic" w:hAnsi="Century Gothic"/>
          <w:sz w:val="18"/>
          <w:szCs w:val="18"/>
        </w:rPr>
        <w:t xml:space="preserve"> (sous la </w:t>
      </w:r>
      <w:proofErr w:type="spellStart"/>
      <w:r w:rsidRPr="00665950">
        <w:rPr>
          <w:rFonts w:ascii="Century Gothic" w:hAnsi="Century Gothic"/>
          <w:sz w:val="18"/>
          <w:szCs w:val="18"/>
        </w:rPr>
        <w:t>dir</w:t>
      </w:r>
      <w:proofErr w:type="spellEnd"/>
      <w:r w:rsidRPr="00665950">
        <w:rPr>
          <w:rFonts w:ascii="Century Gothic" w:hAnsi="Century Gothic"/>
          <w:sz w:val="18"/>
          <w:szCs w:val="18"/>
        </w:rPr>
        <w:t xml:space="preserve">.), </w:t>
      </w:r>
      <w:r w:rsidRPr="00665950">
        <w:rPr>
          <w:rFonts w:ascii="Century Gothic" w:hAnsi="Century Gothic"/>
          <w:i/>
          <w:sz w:val="18"/>
          <w:szCs w:val="18"/>
        </w:rPr>
        <w:t>Le droit des entreprises en difficulté après 30 ans : droit dérogatoire, précurseur ou révélateur ?</w:t>
      </w:r>
      <w:r w:rsidRPr="00665950">
        <w:rPr>
          <w:rFonts w:ascii="Century Gothic" w:hAnsi="Century Gothic"/>
          <w:sz w:val="18"/>
          <w:szCs w:val="18"/>
        </w:rPr>
        <w:t>, Presses de l’Université Toulouse 1 Capitole, 2018, actes de colloque, p. 327.</w:t>
      </w: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42BC7"/>
    <w:multiLevelType w:val="hybridMultilevel"/>
    <w:tmpl w:val="6644A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C9"/>
    <w:rsid w:val="007761D5"/>
    <w:rsid w:val="00782FC9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D382-E86D-49E5-9EDE-B76B5A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FC9"/>
    <w:pPr>
      <w:ind w:left="720"/>
      <w:contextualSpacing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2019-08-25T08:51:00Z</dcterms:created>
  <dcterms:modified xsi:type="dcterms:W3CDTF">2019-08-25T08:51:00Z</dcterms:modified>
</cp:coreProperties>
</file>