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CE" w:rsidRDefault="007832CE" w:rsidP="007832CE">
      <w:pPr>
        <w:jc w:val="both"/>
        <w:rPr>
          <w:rFonts w:ascii="Arial" w:eastAsia="Times" w:hAnsi="Arial" w:cs="Arial"/>
          <w:b/>
          <w:bCs/>
          <w:sz w:val="22"/>
          <w:lang w:eastAsia="en-US"/>
        </w:rPr>
      </w:pPr>
      <w:r>
        <w:rPr>
          <w:rFonts w:ascii="Arial" w:eastAsia="Times" w:hAnsi="Arial" w:cs="Arial"/>
          <w:b/>
          <w:bCs/>
          <w:sz w:val="22"/>
        </w:rPr>
        <w:t>Macorig-Venier Francine :</w:t>
      </w:r>
    </w:p>
    <w:p w:rsidR="007832CE" w:rsidRDefault="007832CE" w:rsidP="007832CE">
      <w:pPr>
        <w:jc w:val="both"/>
        <w:rPr>
          <w:rFonts w:ascii="Arial" w:eastAsia="Cambria" w:hAnsi="Arial" w:cs="Arial"/>
          <w:iCs/>
          <w:sz w:val="22"/>
        </w:rPr>
      </w:pPr>
    </w:p>
    <w:p w:rsidR="007832CE" w:rsidRDefault="007832CE" w:rsidP="007832CE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  <w:lang w:eastAsia="en-US"/>
        </w:rPr>
      </w:pPr>
      <w:r>
        <w:rPr>
          <w:rFonts w:ascii="Arial" w:eastAsia="Cambria" w:hAnsi="Arial" w:cs="Arial"/>
          <w:i/>
          <w:sz w:val="22"/>
        </w:rPr>
        <w:t>L’alerte du commissaire aux comptes dans les comités d’entreprise : la loi a été complétée par des décrets (D. du 27mars 2015),</w:t>
      </w:r>
      <w:r>
        <w:rPr>
          <w:rFonts w:ascii="Arial" w:eastAsia="Cambria" w:hAnsi="Arial" w:cs="Arial"/>
          <w:sz w:val="22"/>
        </w:rPr>
        <w:t xml:space="preserve"> RTD Com. 2015, n° 2, </w:t>
      </w:r>
      <w:r>
        <w:rPr>
          <w:rFonts w:ascii="Arial" w:eastAsia="Cambria" w:hAnsi="Arial" w:cs="Arial"/>
          <w:i/>
          <w:sz w:val="22"/>
        </w:rPr>
        <w:t>p.</w:t>
      </w:r>
      <w:r>
        <w:rPr>
          <w:rFonts w:ascii="Arial" w:eastAsia="Cambria" w:hAnsi="Arial" w:cs="Arial"/>
          <w:sz w:val="22"/>
        </w:rPr>
        <w:t xml:space="preserve"> 360.</w:t>
      </w:r>
    </w:p>
    <w:p w:rsidR="007832CE" w:rsidRDefault="007832CE" w:rsidP="007832CE">
      <w:pPr>
        <w:jc w:val="both"/>
        <w:rPr>
          <w:rFonts w:ascii="Arial" w:eastAsia="Cambria" w:hAnsi="Arial" w:cs="Arial"/>
          <w:sz w:val="22"/>
        </w:rPr>
      </w:pPr>
    </w:p>
    <w:p w:rsidR="007832CE" w:rsidRDefault="007832CE" w:rsidP="007832CE">
      <w:pPr>
        <w:numPr>
          <w:ilvl w:val="0"/>
          <w:numId w:val="1"/>
        </w:numPr>
        <w:jc w:val="both"/>
        <w:rPr>
          <w:rFonts w:ascii="Arial" w:eastAsia="Times" w:hAnsi="Arial" w:cs="Arial"/>
          <w:sz w:val="22"/>
        </w:rPr>
      </w:pPr>
      <w:r>
        <w:rPr>
          <w:rFonts w:ascii="Arial" w:eastAsia="Cambria" w:hAnsi="Arial" w:cs="Arial"/>
          <w:i/>
          <w:iCs/>
          <w:sz w:val="22"/>
        </w:rPr>
        <w:t>Note sous Cass. Com. 18 janv. 2017, n° 15-12723, PB :</w:t>
      </w:r>
      <w:r>
        <w:rPr>
          <w:rFonts w:ascii="Arial" w:eastAsia="Cambria" w:hAnsi="Arial" w:cs="Arial"/>
          <w:sz w:val="22"/>
        </w:rPr>
        <w:t xml:space="preserve"> Dirigeant caution : appréciation de la proportionnalité de son engagement en présence d’une clause d’insaisissabilité et de sa qualité de caution avertie, BJE 2017 n°3, p. 208.</w:t>
      </w:r>
    </w:p>
    <w:p w:rsidR="007832CE" w:rsidRDefault="007832CE" w:rsidP="007832CE">
      <w:pPr>
        <w:ind w:firstLine="60"/>
        <w:jc w:val="both"/>
        <w:rPr>
          <w:rFonts w:ascii="Arial" w:eastAsia="Cambria" w:hAnsi="Arial" w:cs="Arial"/>
          <w:iCs/>
          <w:sz w:val="22"/>
        </w:rPr>
      </w:pPr>
    </w:p>
    <w:p w:rsidR="007832CE" w:rsidRDefault="007832CE" w:rsidP="007832CE">
      <w:pPr>
        <w:numPr>
          <w:ilvl w:val="0"/>
          <w:numId w:val="1"/>
        </w:numPr>
        <w:jc w:val="both"/>
        <w:rPr>
          <w:rFonts w:ascii="Arial" w:eastAsia="Times" w:hAnsi="Arial" w:cs="Arial"/>
          <w:sz w:val="22"/>
        </w:rPr>
      </w:pPr>
      <w:r>
        <w:rPr>
          <w:rFonts w:ascii="Arial" w:eastAsia="Cambria" w:hAnsi="Arial" w:cs="Arial"/>
          <w:i/>
          <w:sz w:val="22"/>
        </w:rPr>
        <w:t>L'avant-projet de réforme des sûretés de l'Association Henri Capitant et les modifications apportées au livre VI du Code de commerce</w:t>
      </w:r>
      <w:r>
        <w:rPr>
          <w:rFonts w:ascii="Arial" w:eastAsia="Cambria" w:hAnsi="Arial" w:cs="Arial"/>
          <w:sz w:val="22"/>
        </w:rPr>
        <w:t>, Eclairage BJE 2018/1, n° 115n0, p. 10.</w:t>
      </w:r>
    </w:p>
    <w:p w:rsidR="007832CE" w:rsidRDefault="007832CE" w:rsidP="007832CE">
      <w:pPr>
        <w:jc w:val="both"/>
        <w:rPr>
          <w:rFonts w:ascii="Arial" w:eastAsia="Times" w:hAnsi="Arial" w:cs="Arial"/>
          <w:i/>
          <w:sz w:val="22"/>
        </w:rPr>
      </w:pPr>
    </w:p>
    <w:p w:rsidR="007832CE" w:rsidRDefault="007832CE" w:rsidP="007832CE">
      <w:pPr>
        <w:jc w:val="both"/>
        <w:rPr>
          <w:rFonts w:ascii="Arial" w:eastAsia="Times" w:hAnsi="Arial" w:cs="Arial"/>
          <w:i/>
          <w:sz w:val="22"/>
        </w:rPr>
      </w:pP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67B2"/>
    <w:multiLevelType w:val="hybridMultilevel"/>
    <w:tmpl w:val="E5601FA4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CE"/>
    <w:rsid w:val="002239BF"/>
    <w:rsid w:val="007832CE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CE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CE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Macintosh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2019-09-29T18:39:00Z</dcterms:created>
  <dcterms:modified xsi:type="dcterms:W3CDTF">2019-09-29T18:40:00Z</dcterms:modified>
</cp:coreProperties>
</file>