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37" w:rsidRDefault="00D36237" w:rsidP="00D36237">
      <w:pPr>
        <w:jc w:val="both"/>
        <w:rPr>
          <w:rFonts w:ascii="Arial" w:eastAsia="Calibri" w:hAnsi="Arial" w:cs="Arial"/>
          <w:b/>
          <w:bCs/>
          <w:sz w:val="22"/>
          <w:lang w:val="nl-NL" w:eastAsia="en-US"/>
        </w:rPr>
      </w:pPr>
      <w:r>
        <w:rPr>
          <w:rFonts w:ascii="Arial" w:hAnsi="Arial" w:cs="Arial"/>
          <w:b/>
          <w:bCs/>
          <w:sz w:val="22"/>
          <w:lang w:val="nl-NL"/>
        </w:rPr>
        <w:t>de Bissy (Arnaud) :</w:t>
      </w:r>
    </w:p>
    <w:p w:rsidR="00D36237" w:rsidRDefault="00D36237" w:rsidP="00D36237">
      <w:pPr>
        <w:jc w:val="both"/>
        <w:rPr>
          <w:rFonts w:ascii="Arial" w:eastAsia="Calibri" w:hAnsi="Arial" w:cs="Arial"/>
          <w:sz w:val="22"/>
          <w:lang w:val="nl-NL" w:eastAsia="en-US"/>
        </w:rPr>
      </w:pPr>
      <w:r>
        <w:rPr>
          <w:rFonts w:ascii="Arial" w:hAnsi="Arial" w:cs="Arial"/>
          <w:b/>
          <w:bCs/>
          <w:sz w:val="22"/>
          <w:lang w:val="nl-NL"/>
        </w:rPr>
        <w:t> </w:t>
      </w: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  <w:lang w:eastAsia="en-US"/>
        </w:rPr>
      </w:pPr>
      <w:r>
        <w:rPr>
          <w:rFonts w:ascii="Arial" w:eastAsia="Times" w:hAnsi="Arial" w:cs="Arial"/>
          <w:i/>
          <w:iCs/>
          <w:sz w:val="22"/>
        </w:rPr>
        <w:t>C</w:t>
      </w:r>
      <w:r>
        <w:rPr>
          <w:rFonts w:ascii="Arial" w:eastAsia="Times" w:hAnsi="Arial" w:cs="Arial"/>
          <w:sz w:val="22"/>
        </w:rPr>
        <w:t>ommentaire de la réforme du régime fiscal du rachat de titres par la loi du 29 décembre 2014 de finances rectificative pour 2014 (Dr. Fisc. 2015, n°1-2, p.41).</w:t>
      </w:r>
    </w:p>
    <w:p w:rsidR="00D36237" w:rsidRDefault="00D36237" w:rsidP="00D36237">
      <w:pPr>
        <w:ind w:firstLine="60"/>
        <w:jc w:val="both"/>
        <w:rPr>
          <w:rFonts w:ascii="Arial" w:eastAsia="Arial Unicode MS" w:hAnsi="Arial" w:cs="Arial"/>
          <w:sz w:val="22"/>
          <w:lang w:eastAsia="en-US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  <w:lang w:eastAsia="en-US"/>
        </w:rPr>
      </w:pPr>
      <w:r>
        <w:rPr>
          <w:rFonts w:ascii="Arial" w:eastAsia="Times" w:hAnsi="Arial" w:cs="Arial"/>
          <w:i/>
          <w:iCs/>
          <w:sz w:val="22"/>
        </w:rPr>
        <w:t>Note sous Conseil constitutionnel 20 juin 2014, avec FERRE (Mathieu)</w:t>
      </w:r>
      <w:r>
        <w:rPr>
          <w:rFonts w:ascii="Arial" w:eastAsia="Times" w:hAnsi="Arial" w:cs="Arial"/>
          <w:sz w:val="22"/>
        </w:rPr>
        <w:t xml:space="preserve"> (Dr. Fiscal 2014, n°30, comm. 467). Le régime fiscal des rachats de titres est contraire à la Constitution.</w:t>
      </w:r>
    </w:p>
    <w:p w:rsidR="00D36237" w:rsidRDefault="00D36237" w:rsidP="00D36237">
      <w:pPr>
        <w:jc w:val="both"/>
        <w:rPr>
          <w:rFonts w:ascii="Arial" w:eastAsia="Times" w:hAnsi="Arial" w:cs="Arial"/>
          <w:sz w:val="22"/>
          <w:lang w:eastAsia="en-US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  <w:lang w:eastAsia="en-US"/>
        </w:rPr>
      </w:pPr>
      <w:r>
        <w:rPr>
          <w:rFonts w:ascii="Arial" w:eastAsia="Times" w:hAnsi="Arial" w:cs="Arial"/>
          <w:i/>
          <w:iCs/>
          <w:sz w:val="22"/>
        </w:rPr>
        <w:t>Observations sous CE 1</w:t>
      </w:r>
      <w:r>
        <w:rPr>
          <w:rFonts w:ascii="Arial" w:eastAsia="Times" w:hAnsi="Arial" w:cs="Arial"/>
          <w:i/>
          <w:iCs/>
          <w:sz w:val="22"/>
          <w:vertAlign w:val="superscript"/>
        </w:rPr>
        <w:t>er</w:t>
      </w:r>
      <w:r>
        <w:rPr>
          <w:rFonts w:ascii="Arial" w:eastAsia="Times" w:hAnsi="Arial" w:cs="Arial"/>
          <w:i/>
          <w:iCs/>
          <w:sz w:val="22"/>
        </w:rPr>
        <w:t xml:space="preserve"> avril 2015</w:t>
      </w:r>
      <w:r>
        <w:rPr>
          <w:rFonts w:ascii="Arial" w:eastAsia="Times" w:hAnsi="Arial" w:cs="Arial"/>
          <w:sz w:val="22"/>
        </w:rPr>
        <w:t xml:space="preserve"> (Dr. Fisc. 2015, n°19-20, act. 284). La décision d’annulation par une société de ses propres titres initialement rachetés pour être cédés est une cession !</w:t>
      </w:r>
    </w:p>
    <w:p w:rsidR="00D36237" w:rsidRDefault="00D36237" w:rsidP="00D36237">
      <w:pPr>
        <w:jc w:val="both"/>
        <w:rPr>
          <w:rFonts w:ascii="Arial" w:eastAsia="Times" w:hAnsi="Arial" w:cs="Arial"/>
          <w:sz w:val="22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  <w:lang w:eastAsia="en-US"/>
        </w:rPr>
      </w:pPr>
      <w:r>
        <w:rPr>
          <w:rFonts w:ascii="Arial" w:eastAsia="Times" w:hAnsi="Arial" w:cs="Arial"/>
          <w:i/>
          <w:iCs/>
          <w:sz w:val="22"/>
        </w:rPr>
        <w:t>Observations sous CE 11 mai 2015</w:t>
      </w:r>
      <w:r>
        <w:rPr>
          <w:rFonts w:ascii="Arial" w:eastAsia="Times" w:hAnsi="Arial" w:cs="Arial"/>
          <w:sz w:val="22"/>
        </w:rPr>
        <w:t xml:space="preserve"> (Dr. Fisc. 2015, n°39, comm. 585). Abattement légal sur les distributions officielles : la notion de dividende n'est pas morte !</w:t>
      </w:r>
    </w:p>
    <w:p w:rsidR="00D36237" w:rsidRDefault="00D36237" w:rsidP="00D36237">
      <w:pPr>
        <w:jc w:val="both"/>
        <w:rPr>
          <w:rFonts w:ascii="Arial" w:eastAsia="Times" w:hAnsi="Arial" w:cs="Arial"/>
          <w:sz w:val="22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Times" w:hAnsi="Arial" w:cs="Arial"/>
          <w:i/>
          <w:iCs/>
          <w:sz w:val="22"/>
          <w:szCs w:val="22"/>
          <w:lang w:eastAsia="en-US"/>
        </w:rPr>
      </w:pPr>
      <w:r>
        <w:rPr>
          <w:rFonts w:ascii="Arial" w:eastAsia="Times" w:hAnsi="Arial" w:cs="Arial"/>
          <w:i/>
          <w:iCs/>
          <w:sz w:val="22"/>
        </w:rPr>
        <w:t xml:space="preserve">Comptabilité et fiscalité. </w:t>
      </w:r>
      <w:r>
        <w:rPr>
          <w:rFonts w:ascii="Arial" w:eastAsia="Times" w:hAnsi="Arial" w:cs="Arial"/>
          <w:sz w:val="22"/>
        </w:rPr>
        <w:t>LexisNexis, 1</w:t>
      </w:r>
      <w:r>
        <w:rPr>
          <w:rFonts w:ascii="Arial" w:eastAsia="Times" w:hAnsi="Arial" w:cs="Arial"/>
          <w:sz w:val="22"/>
          <w:vertAlign w:val="superscript"/>
        </w:rPr>
        <w:t>ère</w:t>
      </w:r>
      <w:r>
        <w:rPr>
          <w:rFonts w:ascii="Arial" w:eastAsia="Times" w:hAnsi="Arial" w:cs="Arial"/>
          <w:sz w:val="22"/>
        </w:rPr>
        <w:t xml:space="preserve"> éd. 2014, </w:t>
      </w:r>
      <w:r>
        <w:rPr>
          <w:rFonts w:ascii="Arial" w:eastAsia="Times" w:hAnsi="Arial" w:cs="Arial"/>
          <w:i/>
          <w:iCs/>
          <w:sz w:val="22"/>
        </w:rPr>
        <w:t>2ème éd., 2016 (629 p.)</w:t>
      </w:r>
    </w:p>
    <w:p w:rsidR="00D36237" w:rsidRDefault="00D36237" w:rsidP="00D36237">
      <w:pPr>
        <w:ind w:firstLine="60"/>
        <w:jc w:val="both"/>
        <w:rPr>
          <w:rFonts w:ascii="Arial" w:eastAsia="Arial Unicode MS" w:hAnsi="Arial" w:cs="Arial"/>
          <w:sz w:val="22"/>
          <w:lang w:eastAsia="en-US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  <w:lang w:eastAsia="en-US"/>
        </w:rPr>
      </w:pPr>
      <w:r>
        <w:rPr>
          <w:rFonts w:ascii="Arial" w:eastAsia="Times" w:hAnsi="Arial" w:cs="Arial"/>
          <w:sz w:val="22"/>
        </w:rPr>
        <w:t xml:space="preserve">Note sous Conseil d'Etat 22 février 2017, </w:t>
      </w:r>
      <w:r>
        <w:rPr>
          <w:rFonts w:ascii="Arial" w:eastAsia="Times" w:hAnsi="Arial" w:cs="Arial"/>
          <w:i/>
          <w:sz w:val="22"/>
        </w:rPr>
        <w:t xml:space="preserve">Présomption d'appropriation des sommes réputées distribuées lorsque la maîtrise de l'affaire est exercée par plusieurs contribuables : le doute profite à l'accusé, </w:t>
      </w:r>
      <w:r>
        <w:rPr>
          <w:rFonts w:ascii="Arial" w:eastAsia="Times" w:hAnsi="Arial" w:cs="Arial"/>
          <w:sz w:val="22"/>
        </w:rPr>
        <w:t>Dr. Fisc. 2017, n°16, comm. 261.</w:t>
      </w:r>
    </w:p>
    <w:p w:rsidR="00D36237" w:rsidRDefault="00D36237" w:rsidP="00D36237">
      <w:pPr>
        <w:jc w:val="both"/>
        <w:rPr>
          <w:rFonts w:ascii="Arial" w:eastAsia="Times" w:hAnsi="Arial" w:cs="Arial"/>
          <w:sz w:val="22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Times" w:hAnsi="Arial" w:cs="Arial"/>
          <w:i/>
          <w:sz w:val="22"/>
          <w:lang w:eastAsia="en-US"/>
        </w:rPr>
      </w:pPr>
      <w:r>
        <w:rPr>
          <w:rFonts w:ascii="Arial" w:eastAsia="Times" w:hAnsi="Arial" w:cs="Arial"/>
          <w:i/>
          <w:sz w:val="22"/>
        </w:rPr>
        <w:t xml:space="preserve">Contribution aux Mélanges Neau-Leduc ; </w:t>
      </w:r>
      <w:r>
        <w:rPr>
          <w:rFonts w:ascii="Arial" w:eastAsia="Times" w:hAnsi="Arial" w:cs="Arial"/>
          <w:i/>
          <w:iCs/>
          <w:sz w:val="22"/>
        </w:rPr>
        <w:t>"Le PEA dans tous ses états".</w:t>
      </w:r>
      <w:r>
        <w:rPr>
          <w:rFonts w:ascii="Arial" w:eastAsia="Times" w:hAnsi="Arial" w:cs="Arial"/>
          <w:i/>
          <w:sz w:val="22"/>
        </w:rPr>
        <w:t xml:space="preserve"> LGDJ, 2018, p.85 à 95.</w:t>
      </w:r>
    </w:p>
    <w:p w:rsidR="00D36237" w:rsidRDefault="00D36237" w:rsidP="00D36237">
      <w:pPr>
        <w:jc w:val="both"/>
        <w:rPr>
          <w:rFonts w:ascii="Arial" w:eastAsia="Times" w:hAnsi="Arial" w:cs="Arial"/>
          <w:i/>
          <w:sz w:val="22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 xml:space="preserve">Note sous CE 27 mars 2019, </w:t>
      </w:r>
      <w:r>
        <w:rPr>
          <w:rFonts w:ascii="Arial" w:hAnsi="Arial" w:cs="Arial"/>
          <w:i/>
          <w:iCs/>
          <w:sz w:val="22"/>
        </w:rPr>
        <w:t xml:space="preserve">Régime des distributions de bénéfices : droit des sociétés versus réalisme fiscal, </w:t>
      </w:r>
      <w:r>
        <w:rPr>
          <w:rFonts w:ascii="Arial" w:hAnsi="Arial" w:cs="Arial"/>
          <w:sz w:val="22"/>
        </w:rPr>
        <w:t>Dr. Fisc. 2019, n° 20, Comm. 263.</w:t>
      </w:r>
    </w:p>
    <w:p w:rsidR="00D36237" w:rsidRDefault="00D36237" w:rsidP="00D36237">
      <w:pPr>
        <w:ind w:firstLine="60"/>
        <w:jc w:val="both"/>
        <w:rPr>
          <w:rFonts w:ascii="Arial" w:eastAsia="Arial Unicode MS" w:hAnsi="Arial" w:cs="Arial"/>
          <w:sz w:val="22"/>
          <w:lang w:eastAsia="en-US"/>
        </w:rPr>
      </w:pPr>
    </w:p>
    <w:p w:rsidR="00D36237" w:rsidRDefault="00D36237" w:rsidP="00D36237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hAnsi="Arial" w:cs="Arial"/>
          <w:i/>
          <w:iCs/>
          <w:sz w:val="22"/>
          <w:szCs w:val="27"/>
        </w:rPr>
        <w:t>La crise existentielle des sociétés : quel impact fiscal ?</w:t>
      </w:r>
      <w:r>
        <w:rPr>
          <w:rFonts w:ascii="Arial" w:hAnsi="Arial" w:cs="Arial"/>
          <w:sz w:val="22"/>
          <w:szCs w:val="27"/>
        </w:rPr>
        <w:t xml:space="preserve"> Actes de colloques, Lexbase, affaires, n°597 du 13 juin 2019, numéro spécial "Loi Pacte", p. 33 et s.</w:t>
      </w:r>
    </w:p>
    <w:p w:rsidR="00D36237" w:rsidRDefault="00D36237" w:rsidP="00D36237">
      <w:pPr>
        <w:jc w:val="both"/>
        <w:rPr>
          <w:rFonts w:ascii="Arial" w:eastAsia="Arial Unicode MS" w:hAnsi="Arial" w:cs="Arial"/>
          <w:sz w:val="22"/>
          <w:szCs w:val="27"/>
          <w:lang w:eastAsia="en-US"/>
        </w:rPr>
      </w:pPr>
    </w:p>
    <w:p w:rsidR="00D36237" w:rsidRDefault="00D36237" w:rsidP="00D36237">
      <w:pPr>
        <w:jc w:val="both"/>
        <w:rPr>
          <w:rFonts w:ascii="Arial" w:eastAsia="Arial Unicode MS" w:hAnsi="Arial" w:cs="Arial"/>
          <w:sz w:val="22"/>
          <w:lang w:eastAsia="en-US"/>
        </w:rPr>
      </w:pP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35BBE"/>
    <w:multiLevelType w:val="hybridMultilevel"/>
    <w:tmpl w:val="8FB8FE40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37"/>
    <w:rsid w:val="002239BF"/>
    <w:rsid w:val="00B92004"/>
    <w:rsid w:val="00D36237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37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37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1218</Characters>
  <Application>Microsoft Macintosh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2019-09-29T18:33:00Z</dcterms:created>
  <dcterms:modified xsi:type="dcterms:W3CDTF">2019-09-29T18:34:00Z</dcterms:modified>
</cp:coreProperties>
</file>