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84" w:rsidRDefault="00501284" w:rsidP="00501284">
      <w:pPr>
        <w:jc w:val="both"/>
        <w:rPr>
          <w:rFonts w:ascii="Arial" w:eastAsia="Calibri" w:hAnsi="Arial" w:cs="Arial"/>
          <w:b/>
          <w:bCs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t>Barbiéri Jean-François :</w:t>
      </w:r>
    </w:p>
    <w:p w:rsidR="00501284" w:rsidRDefault="00501284" w:rsidP="00501284">
      <w:pPr>
        <w:jc w:val="both"/>
        <w:rPr>
          <w:rFonts w:ascii="Arial" w:eastAsia="Calibri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> </w:t>
      </w: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hyperlink r:id="rId6" w:history="1"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Responsabilité des professionnels libéraux exerçant po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u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r une société : translucidité de la pers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o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nne morale</w:t>
        </w:r>
      </w:hyperlink>
      <w:r>
        <w:rPr>
          <w:rFonts w:ascii="Arial" w:eastAsia="Cambria" w:hAnsi="Arial" w:cs="Arial"/>
          <w:sz w:val="22"/>
        </w:rPr>
        <w:t>, Mélanges Le Cannu Paul, Dalloz, 2014.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  <w:lang w:eastAsia="en-US"/>
        </w:rPr>
      </w:pPr>
      <w:hyperlink r:id="rId7" w:history="1"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Le droit de participer à l'élaboration des décis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i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ons collectives face au dr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o</w:t>
        </w:r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it de contribuer à leur adoption</w:t>
        </w:r>
      </w:hyperlink>
      <w:r>
        <w:rPr>
          <w:rFonts w:ascii="Arial" w:eastAsia="Cambria" w:hAnsi="Arial" w:cs="Arial"/>
          <w:sz w:val="22"/>
        </w:rPr>
        <w:t>, Mélanges Germain Michel, LexisNexis – Lextenso, 2015.</w:t>
      </w:r>
    </w:p>
    <w:p w:rsidR="00501284" w:rsidRDefault="00501284" w:rsidP="00501284">
      <w:pPr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r>
        <w:rPr>
          <w:rFonts w:ascii="Arial" w:eastAsia="Cambria" w:hAnsi="Arial" w:cs="Arial"/>
          <w:i/>
          <w:iCs/>
          <w:sz w:val="22"/>
        </w:rPr>
        <w:t>Responsabilité</w:t>
      </w:r>
      <w:r>
        <w:rPr>
          <w:rFonts w:ascii="Arial" w:eastAsia="Cambria" w:hAnsi="Arial" w:cs="Arial" w:hint="eastAsia"/>
          <w:i/>
          <w:iCs/>
          <w:sz w:val="22"/>
        </w:rPr>
        <w:t xml:space="preserve"> </w:t>
      </w:r>
      <w:r>
        <w:rPr>
          <w:rFonts w:ascii="Arial" w:eastAsia="Cambria" w:hAnsi="Arial" w:cs="Arial"/>
          <w:i/>
          <w:iCs/>
          <w:sz w:val="22"/>
        </w:rPr>
        <w:t>civile des commissaires aux comptes,</w:t>
      </w:r>
      <w:r>
        <w:rPr>
          <w:rFonts w:ascii="Arial" w:eastAsia="Cambria" w:hAnsi="Arial" w:cs="Arial"/>
          <w:sz w:val="22"/>
        </w:rPr>
        <w:t xml:space="preserve"> Guide pratique et mémentos, Francis Lefebvre, 1er mars 2017, 214 p.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hyperlink r:id="rId8" w:history="1"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Le dirigeant associé</w:t>
        </w:r>
      </w:hyperlink>
      <w:r>
        <w:rPr>
          <w:rFonts w:ascii="Arial" w:eastAsia="Cambria" w:hAnsi="Arial" w:cs="Arial"/>
          <w:sz w:val="22"/>
        </w:rPr>
        <w:t>, Droit des sociétés 2016, nº 3.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hyperlink r:id="rId9" w:history="1"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Réforme de l'audit légal : un mouvement perpétuel asynchrone</w:t>
        </w:r>
      </w:hyperlink>
      <w:r>
        <w:rPr>
          <w:rFonts w:ascii="Arial" w:eastAsia="Cambria" w:hAnsi="Arial" w:cs="Arial"/>
          <w:i/>
          <w:iCs/>
          <w:sz w:val="22"/>
        </w:rPr>
        <w:t>,</w:t>
      </w:r>
      <w:r>
        <w:rPr>
          <w:rFonts w:ascii="Arial" w:eastAsia="Cambria" w:hAnsi="Arial" w:cs="Arial"/>
          <w:sz w:val="22"/>
        </w:rPr>
        <w:t xml:space="preserve"> Bulletin mensuel d'information des sociétés Joly (BMIS), 2017, nº 1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hyperlink r:id="rId10" w:history="1"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Commissaires aux comptes : nouvel aggiornamento du code de déontologie</w:t>
        </w:r>
      </w:hyperlink>
      <w:r>
        <w:rPr>
          <w:rFonts w:ascii="Arial" w:eastAsia="Cambria" w:hAnsi="Arial" w:cs="Arial"/>
          <w:i/>
          <w:iCs/>
          <w:sz w:val="22"/>
        </w:rPr>
        <w:t>,</w:t>
      </w:r>
      <w:r>
        <w:rPr>
          <w:rFonts w:ascii="Arial" w:eastAsia="Cambria" w:hAnsi="Arial" w:cs="Arial"/>
          <w:sz w:val="22"/>
        </w:rPr>
        <w:t xml:space="preserve"> Bulletin mensuel d'information des sociétés Joly (BMIS), 2017, nº 6.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hyperlink r:id="rId11" w:history="1">
        <w:r>
          <w:rPr>
            <w:rStyle w:val="Lienhypertexte"/>
            <w:rFonts w:ascii="Arial" w:eastAsia="Cambria" w:hAnsi="Arial" w:cs="Arial"/>
            <w:i/>
            <w:iCs/>
            <w:color w:val="auto"/>
            <w:sz w:val="22"/>
            <w:szCs w:val="18"/>
            <w:u w:val="none"/>
          </w:rPr>
          <w:t>Le comité d'audit après la réforme 2016 du contrôle légal des comptes</w:t>
        </w:r>
      </w:hyperlink>
      <w:r>
        <w:rPr>
          <w:rFonts w:ascii="Arial" w:eastAsia="Cambria" w:hAnsi="Arial" w:cs="Arial"/>
          <w:i/>
          <w:iCs/>
          <w:sz w:val="22"/>
        </w:rPr>
        <w:t>,</w:t>
      </w:r>
      <w:r>
        <w:rPr>
          <w:rFonts w:ascii="Arial" w:eastAsia="Cambria" w:hAnsi="Arial" w:cs="Arial"/>
          <w:sz w:val="22"/>
        </w:rPr>
        <w:t xml:space="preserve"> Revue Lamy Droit des affaires – 2017, nº 132 supp.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hyperlink r:id="rId12" w:history="1">
        <w:r>
          <w:rPr>
            <w:rStyle w:val="Lienhypertexte"/>
            <w:rFonts w:ascii="Arial" w:hAnsi="Arial" w:cs="Arial"/>
            <w:i/>
            <w:iCs/>
            <w:color w:val="auto"/>
            <w:sz w:val="22"/>
            <w:szCs w:val="18"/>
            <w:u w:val="none"/>
          </w:rPr>
          <w:t>Les "comités spécialisés" du conseil autres que le comité d'audit</w:t>
        </w:r>
      </w:hyperlink>
      <w:r>
        <w:rPr>
          <w:rFonts w:ascii="Arial" w:hAnsi="Arial" w:cs="Arial"/>
          <w:i/>
          <w:iCs/>
          <w:sz w:val="22"/>
        </w:rPr>
        <w:t>,</w:t>
      </w:r>
      <w:r>
        <w:rPr>
          <w:rFonts w:ascii="Arial" w:hAnsi="Arial" w:cs="Arial"/>
          <w:sz w:val="22"/>
        </w:rPr>
        <w:t xml:space="preserve"> Revue Lamy Droit des affaires, 2018, nº supp. 143.</w:t>
      </w:r>
    </w:p>
    <w:p w:rsidR="00501284" w:rsidRDefault="00501284" w:rsidP="00501284">
      <w:pPr>
        <w:ind w:firstLine="60"/>
        <w:jc w:val="both"/>
        <w:rPr>
          <w:rFonts w:ascii="Arial" w:eastAsia="Cambria" w:hAnsi="Arial" w:cs="Arial"/>
          <w:sz w:val="22"/>
        </w:rPr>
      </w:pPr>
    </w:p>
    <w:p w:rsidR="00501284" w:rsidRDefault="00501284" w:rsidP="00501284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r>
        <w:rPr>
          <w:rFonts w:ascii="Arial" w:eastAsia="Cambria" w:hAnsi="Arial" w:cs="Arial"/>
          <w:i/>
          <w:iCs/>
          <w:sz w:val="22"/>
        </w:rPr>
        <w:t>Regards sur l’évolution du droit des sociétés depuis la loi du 24 juillet 1966,</w:t>
      </w:r>
      <w:r>
        <w:rPr>
          <w:rFonts w:ascii="Arial" w:eastAsia="Cambria" w:hAnsi="Arial" w:cs="Arial"/>
          <w:sz w:val="22"/>
        </w:rPr>
        <w:t xml:space="preserve"> Sous la direction d’Isabelle Urbain-Parléani et Pierre-Henri Conac, Paris, Dalloz 2018.</w:t>
      </w:r>
    </w:p>
    <w:p w:rsidR="00501284" w:rsidRDefault="00501284" w:rsidP="00501284">
      <w:pPr>
        <w:jc w:val="both"/>
        <w:rPr>
          <w:rFonts w:ascii="Arial" w:eastAsia="Times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> 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0114B"/>
    <w:multiLevelType w:val="hybridMultilevel"/>
    <w:tmpl w:val="3EB04838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84"/>
    <w:rsid w:val="002239BF"/>
    <w:rsid w:val="00501284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84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semiHidden/>
    <w:rsid w:val="00501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84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semiHidden/>
    <w:rsid w:val="00501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ewip-doctrinalplus-fr.biblio-dist.ut-capitole.fr/doc/doctrinal/notice/479062?nop=1&amp;search_id=d52342043cbb7e28cdba171937fbde05&amp;idx=37" TargetMode="External"/><Relationship Id="rId12" Type="http://schemas.openxmlformats.org/officeDocument/2006/relationships/hyperlink" Target="https://newip-doctrinalplus-fr.biblio-dist.ut-capitole.fr/doc/doctrinal/notice/506464?nop=1&amp;search_id=d52342043cbb7e28cdba171937fbde05&amp;idx=5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newip-doctrinalplus-fr.biblio-dist.ut-capitole.fr/doc/doctrinal/notice/90003069?nop=1&amp;search_id=d52342043cbb7e28cdba171937fbde05&amp;idx=141" TargetMode="External"/><Relationship Id="rId7" Type="http://schemas.openxmlformats.org/officeDocument/2006/relationships/hyperlink" Target="https://newip-doctrinalplus-fr.biblio-dist.ut-capitole.fr/doc/doctrinal/notice/90003437?nop=1&amp;search_id=d52342043cbb7e28cdba171937fbde05&amp;idx=105" TargetMode="External"/><Relationship Id="rId8" Type="http://schemas.openxmlformats.org/officeDocument/2006/relationships/hyperlink" Target="https://newip-doctrinalplus-fr.biblio-dist.ut-capitole.fr/doc/doctrinal/notice/430797?nop=1&amp;search_id=d52342043cbb7e28cdba171937fbde05&amp;idx=78" TargetMode="External"/><Relationship Id="rId9" Type="http://schemas.openxmlformats.org/officeDocument/2006/relationships/hyperlink" Target="https://newip-doctrinalplus-fr.biblio-dist.ut-capitole.fr/doc/doctrinal/notice/454487?nop=1&amp;search_id=d52342043cbb7e28cdba171937fbde05&amp;idx=58" TargetMode="External"/><Relationship Id="rId10" Type="http://schemas.openxmlformats.org/officeDocument/2006/relationships/hyperlink" Target="https://newip-doctrinalplus-fr.biblio-dist.ut-capitole.fr/doc/doctrinal/notice/466001?nop=1&amp;search_id=d52342043cbb7e28cdba171937fbde05&amp;idx=47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1962</Characters>
  <Application>Microsoft Macintosh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2019-09-29T18:33:00Z</dcterms:created>
  <dcterms:modified xsi:type="dcterms:W3CDTF">2019-09-29T18:33:00Z</dcterms:modified>
</cp:coreProperties>
</file>