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9A" w:rsidRDefault="0043559A" w:rsidP="0043559A">
      <w:pPr>
        <w:jc w:val="both"/>
        <w:rPr>
          <w:rFonts w:ascii="Arial" w:eastAsia="Times" w:hAnsi="Arial" w:cs="Arial"/>
          <w:b/>
          <w:bCs/>
          <w:sz w:val="22"/>
        </w:rPr>
      </w:pPr>
      <w:r>
        <w:rPr>
          <w:rFonts w:ascii="Arial" w:eastAsia="Times" w:hAnsi="Arial" w:cs="Arial"/>
          <w:b/>
          <w:bCs/>
          <w:sz w:val="22"/>
        </w:rPr>
        <w:t>Serlooten (Claire) :</w:t>
      </w:r>
    </w:p>
    <w:p w:rsidR="0043559A" w:rsidRDefault="0043559A" w:rsidP="0043559A">
      <w:pPr>
        <w:jc w:val="both"/>
        <w:rPr>
          <w:rFonts w:ascii="Arial" w:eastAsia="Times" w:hAnsi="Arial" w:cs="Arial"/>
          <w:b/>
          <w:bCs/>
          <w:sz w:val="22"/>
          <w:szCs w:val="22"/>
          <w:lang w:eastAsia="en-US"/>
        </w:rPr>
      </w:pPr>
    </w:p>
    <w:p w:rsidR="0043559A" w:rsidRDefault="0043559A" w:rsidP="0043559A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7"/>
          <w:lang w:eastAsia="en-US"/>
        </w:rPr>
      </w:pPr>
      <w:r>
        <w:rPr>
          <w:rFonts w:ascii="Arial" w:eastAsia="Arial Unicode MS" w:hAnsi="Arial" w:cs="Arial"/>
          <w:i/>
          <w:iCs/>
          <w:sz w:val="22"/>
        </w:rPr>
        <w:t xml:space="preserve">Loi "PACTE" : une loi de simplification pour les entreprises. </w:t>
      </w:r>
      <w:r>
        <w:rPr>
          <w:rFonts w:ascii="Arial" w:hAnsi="Arial" w:cs="Arial"/>
          <w:sz w:val="22"/>
          <w:szCs w:val="27"/>
        </w:rPr>
        <w:t>Actes de colloques, Lexbase, affaires, n°597 du 13 juin 2019, numéro spécial "Loi Pacte", avec Dols (Mathilde).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E68"/>
    <w:multiLevelType w:val="hybridMultilevel"/>
    <w:tmpl w:val="F1A28DEA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9A"/>
    <w:rsid w:val="002239BF"/>
    <w:rsid w:val="0043559A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A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A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2019-09-29T18:41:00Z</dcterms:created>
  <dcterms:modified xsi:type="dcterms:W3CDTF">2019-09-29T18:41:00Z</dcterms:modified>
</cp:coreProperties>
</file>